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CellMar>
          <w:top w:w="28" w:type="dxa"/>
          <w:left w:w="57" w:type="dxa"/>
          <w:bottom w:w="28" w:type="dxa"/>
          <w:right w:w="0" w:type="dxa"/>
        </w:tblCellMar>
        <w:tblLook w:val="04A0" w:firstRow="1" w:lastRow="0" w:firstColumn="1" w:lastColumn="0" w:noHBand="0" w:noVBand="1"/>
      </w:tblPr>
      <w:tblGrid>
        <w:gridCol w:w="1276"/>
        <w:gridCol w:w="9190"/>
      </w:tblGrid>
      <w:tr w:rsidR="00F5721C" w:rsidTr="00F5721C">
        <w:trPr>
          <w:trHeight w:val="256"/>
        </w:trPr>
        <w:tc>
          <w:tcPr>
            <w:tcW w:w="10466" w:type="dxa"/>
            <w:gridSpan w:val="2"/>
            <w:tcBorders>
              <w:top w:val="nil"/>
              <w:left w:val="nil"/>
              <w:bottom w:val="nil"/>
              <w:right w:val="nil"/>
            </w:tcBorders>
          </w:tcPr>
          <w:p w:rsidR="00F5721C" w:rsidRDefault="00F5721C" w:rsidP="00F5721C">
            <w:pPr>
              <w:pStyle w:val="Titre1"/>
              <w:jc w:val="right"/>
              <w:outlineLvl w:val="0"/>
              <w:rPr>
                <w:noProof/>
              </w:rPr>
            </w:pPr>
            <w:r w:rsidRPr="00366D33">
              <w:rPr>
                <w:rFonts w:ascii="Calibri" w:hAnsi="Calibri"/>
                <w:b w:val="0"/>
                <w:bCs/>
                <w:color w:val="FF0000"/>
                <w:sz w:val="22"/>
                <w:szCs w:val="22"/>
              </w:rPr>
              <w:t> logo établissement à insérer</w:t>
            </w:r>
          </w:p>
        </w:tc>
      </w:tr>
      <w:tr w:rsidR="00142D64" w:rsidTr="00996E95">
        <w:trPr>
          <w:trHeight w:val="688"/>
        </w:trPr>
        <w:tc>
          <w:tcPr>
            <w:tcW w:w="10466" w:type="dxa"/>
            <w:gridSpan w:val="2"/>
            <w:tcBorders>
              <w:top w:val="nil"/>
              <w:left w:val="nil"/>
              <w:bottom w:val="nil"/>
              <w:right w:val="nil"/>
            </w:tcBorders>
          </w:tcPr>
          <w:p w:rsidR="00142D64" w:rsidRDefault="00142D64" w:rsidP="00FF299D">
            <w:pPr>
              <w:pStyle w:val="Titre1"/>
              <w:outlineLvl w:val="0"/>
            </w:pPr>
            <w:r>
              <w:rPr>
                <w:noProof/>
                <w:lang w:eastAsia="fr-FR"/>
              </w:rPr>
              <w:drawing>
                <wp:anchor distT="0" distB="0" distL="114300" distR="114300" simplePos="0" relativeHeight="251658240" behindDoc="0" locked="0" layoutInCell="1" allowOverlap="1" wp14:anchorId="78174056">
                  <wp:simplePos x="0" y="0"/>
                  <wp:positionH relativeFrom="column">
                    <wp:posOffset>5182870</wp:posOffset>
                  </wp:positionH>
                  <wp:positionV relativeFrom="paragraph">
                    <wp:posOffset>-13335</wp:posOffset>
                  </wp:positionV>
                  <wp:extent cx="1428249" cy="490321"/>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9" cy="490321"/>
                          </a:xfrm>
                          <a:prstGeom prst="rect">
                            <a:avLst/>
                          </a:prstGeom>
                        </pic:spPr>
                      </pic:pic>
                    </a:graphicData>
                  </a:graphic>
                  <wp14:sizeRelH relativeFrom="margin">
                    <wp14:pctWidth>0</wp14:pctWidth>
                  </wp14:sizeRelH>
                  <wp14:sizeRelV relativeFrom="margin">
                    <wp14:pctHeight>0</wp14:pctHeight>
                  </wp14:sizeRelV>
                </wp:anchor>
              </w:drawing>
            </w:r>
          </w:p>
        </w:tc>
      </w:tr>
      <w:tr w:rsidR="00142D64" w:rsidTr="00996E95">
        <w:trPr>
          <w:trHeight w:val="204"/>
        </w:trPr>
        <w:tc>
          <w:tcPr>
            <w:tcW w:w="10466" w:type="dxa"/>
            <w:gridSpan w:val="2"/>
            <w:tcBorders>
              <w:top w:val="nil"/>
              <w:left w:val="nil"/>
              <w:bottom w:val="nil"/>
              <w:right w:val="nil"/>
            </w:tcBorders>
            <w:shd w:val="clear" w:color="auto" w:fill="A6A6A6" w:themeFill="background1" w:themeFillShade="A6"/>
            <w:vAlign w:val="center"/>
          </w:tcPr>
          <w:p w:rsidR="00142D64" w:rsidRPr="00142D64" w:rsidRDefault="005C2A20" w:rsidP="00142D64">
            <w:pPr>
              <w:rPr>
                <w:color w:val="FFFFFF" w:themeColor="background1"/>
              </w:rPr>
            </w:pPr>
            <w:r w:rsidRPr="005C2A20">
              <w:rPr>
                <w:color w:val="FFFFFF" w:themeColor="background1"/>
                <w:sz w:val="20"/>
              </w:rPr>
              <w:t>HANDICAP.ANFH.FR</w:t>
            </w:r>
          </w:p>
        </w:tc>
      </w:tr>
      <w:tr w:rsidR="00142D64" w:rsidTr="003A748C">
        <w:trPr>
          <w:trHeight w:val="850"/>
        </w:trPr>
        <w:tc>
          <w:tcPr>
            <w:tcW w:w="10466" w:type="dxa"/>
            <w:gridSpan w:val="2"/>
            <w:tcBorders>
              <w:top w:val="nil"/>
              <w:left w:val="nil"/>
              <w:bottom w:val="nil"/>
              <w:right w:val="nil"/>
            </w:tcBorders>
            <w:shd w:val="clear" w:color="auto" w:fill="2A9DA4"/>
            <w:vAlign w:val="center"/>
          </w:tcPr>
          <w:p w:rsidR="00142D64" w:rsidRPr="00160CD1" w:rsidRDefault="00234102" w:rsidP="00160CD1">
            <w:pPr>
              <w:pStyle w:val="Titre1"/>
              <w:outlineLvl w:val="0"/>
            </w:pPr>
            <w:r w:rsidRPr="00B710E6">
              <w:t>LETTRE D’INFORMATION EN CAS D’ARRÊT LONG</w:t>
            </w:r>
            <w:r w:rsidR="00BE46F4">
              <w:t xml:space="preserve"> (VERSION 1)</w:t>
            </w:r>
          </w:p>
        </w:tc>
      </w:tr>
      <w:tr w:rsidR="00FF299D" w:rsidTr="00872E7C">
        <w:trPr>
          <w:trHeight w:val="163"/>
        </w:trPr>
        <w:tc>
          <w:tcPr>
            <w:tcW w:w="10466" w:type="dxa"/>
            <w:gridSpan w:val="2"/>
            <w:tcBorders>
              <w:top w:val="nil"/>
              <w:left w:val="nil"/>
              <w:bottom w:val="nil"/>
              <w:right w:val="nil"/>
            </w:tcBorders>
            <w:shd w:val="clear" w:color="auto" w:fill="auto"/>
            <w:vAlign w:val="center"/>
          </w:tcPr>
          <w:p w:rsidR="00FF299D" w:rsidRPr="006323DC" w:rsidRDefault="00FF299D" w:rsidP="00733A91">
            <w:pPr>
              <w:pStyle w:val="Titre1"/>
              <w:outlineLvl w:val="0"/>
            </w:pPr>
          </w:p>
        </w:tc>
      </w:tr>
      <w:tr w:rsidR="00142D64" w:rsidTr="00B32F7D">
        <w:trPr>
          <w:trHeight w:val="9760"/>
        </w:trPr>
        <w:tc>
          <w:tcPr>
            <w:tcW w:w="1276" w:type="dxa"/>
            <w:tcBorders>
              <w:top w:val="nil"/>
              <w:left w:val="nil"/>
              <w:bottom w:val="nil"/>
              <w:right w:val="nil"/>
            </w:tcBorders>
          </w:tcPr>
          <w:p w:rsidR="00142D64" w:rsidRDefault="00142D64" w:rsidP="008651A1"/>
        </w:tc>
        <w:tc>
          <w:tcPr>
            <w:tcW w:w="9190" w:type="dxa"/>
            <w:tcBorders>
              <w:top w:val="nil"/>
              <w:left w:val="nil"/>
              <w:bottom w:val="nil"/>
              <w:right w:val="nil"/>
            </w:tcBorders>
          </w:tcPr>
          <w:p w:rsidR="00D5408E" w:rsidRDefault="00D5408E" w:rsidP="00D5408E">
            <w:pPr>
              <w:pStyle w:val="Sansinterligne"/>
            </w:pPr>
            <w:r>
              <w:t>Nom de l’interlocuteur</w:t>
            </w:r>
          </w:p>
          <w:p w:rsidR="00D5408E" w:rsidRDefault="00D5408E" w:rsidP="00D5408E">
            <w:pPr>
              <w:pStyle w:val="Sansinterligne"/>
            </w:pPr>
            <w:r>
              <w:t xml:space="preserve">Service </w:t>
            </w:r>
          </w:p>
          <w:p w:rsidR="00D5408E" w:rsidRDefault="00D5408E" w:rsidP="00D5408E">
            <w:pPr>
              <w:pStyle w:val="Sansinterligne"/>
            </w:pPr>
            <w:r>
              <w:t>Nom de l’établissement</w:t>
            </w:r>
          </w:p>
          <w:p w:rsidR="00D5408E" w:rsidRDefault="00D5408E" w:rsidP="00D5408E">
            <w:pPr>
              <w:pStyle w:val="Sansinterligne"/>
            </w:pPr>
            <w:r>
              <w:t>Adresse</w:t>
            </w:r>
            <w:r w:rsidRPr="003A748C">
              <w:t xml:space="preserve"> </w:t>
            </w:r>
          </w:p>
          <w:p w:rsidR="00D5408E" w:rsidRDefault="00D5408E" w:rsidP="00D5408E">
            <w:pPr>
              <w:pStyle w:val="Sansinterligne"/>
            </w:pPr>
          </w:p>
          <w:p w:rsidR="00D5408E" w:rsidRPr="003A748C" w:rsidRDefault="00D5408E" w:rsidP="00D5408E">
            <w:pPr>
              <w:pStyle w:val="Sansinterligne"/>
            </w:pPr>
          </w:p>
          <w:p w:rsidR="00D5408E" w:rsidRDefault="00D5408E" w:rsidP="00D5408E">
            <w:pPr>
              <w:pStyle w:val="Sansinterligne"/>
            </w:pPr>
            <w:r w:rsidRPr="00FB6DFB">
              <w:rPr>
                <w:highlight w:val="yellow"/>
              </w:rPr>
              <w:t>Madame, Monsieur</w:t>
            </w:r>
            <w:r>
              <w:t>,</w:t>
            </w:r>
          </w:p>
          <w:p w:rsidR="00D5408E" w:rsidRPr="00354CD0" w:rsidRDefault="00D5408E" w:rsidP="00D5408E">
            <w:pPr>
              <w:pStyle w:val="Sansinterligne"/>
            </w:pPr>
          </w:p>
          <w:p w:rsidR="00D5408E" w:rsidRDefault="00D5408E" w:rsidP="00D5408E">
            <w:pPr>
              <w:pStyle w:val="Sansinterligne"/>
            </w:pPr>
            <w:r w:rsidRPr="008D2088">
              <w:t>Je souhaite vous rappeler le souci permanent de notre établissement de veiller et de participer au bien-être de ses agents.</w:t>
            </w:r>
          </w:p>
          <w:p w:rsidR="00D5408E" w:rsidRPr="008D2088" w:rsidRDefault="00D5408E" w:rsidP="00D5408E">
            <w:pPr>
              <w:pStyle w:val="Sansinterligne"/>
            </w:pPr>
          </w:p>
          <w:p w:rsidR="00D5408E" w:rsidRPr="008D2088" w:rsidRDefault="00D5408E" w:rsidP="00D5408E">
            <w:pPr>
              <w:pStyle w:val="Sansinterligne"/>
            </w:pPr>
            <w:r w:rsidRPr="008D2088">
              <w:t>C’est pourquoi je tiens à vous transmettre ce courrier pour vous rappeler que des professionnels sont à votre disposition afin de préparer au mieux votre réintégration au sein de votre service et de vous soutenir dans vos démarches, notamment administratives.</w:t>
            </w:r>
          </w:p>
          <w:p w:rsidR="00D5408E" w:rsidRPr="008D2088" w:rsidRDefault="00D5408E" w:rsidP="00D5408E">
            <w:pPr>
              <w:pStyle w:val="Sansinterligne"/>
            </w:pPr>
          </w:p>
          <w:p w:rsidR="00D5408E" w:rsidRPr="008D2088" w:rsidRDefault="00D5408E" w:rsidP="00D5408E">
            <w:pPr>
              <w:pStyle w:val="Sansinterligne"/>
            </w:pPr>
            <w:r w:rsidRPr="008D2088">
              <w:t>Prêts à vous orienter, vous conseiller, vous informer et à répondre à vos questions, toute notre équipe est à votre disposition. Vous pouvez nous contacter directement ainsi que le service de santé au travail afin de bénéficier d’un accompagnement et d’un soutien adéquats :</w:t>
            </w:r>
          </w:p>
          <w:p w:rsidR="00D5408E" w:rsidRPr="008D2088" w:rsidRDefault="00D5408E" w:rsidP="00D5408E">
            <w:pPr>
              <w:pStyle w:val="Sansinterligne"/>
            </w:pPr>
            <w:r w:rsidRPr="008D2088">
              <w:rPr>
                <w:highlight w:val="yellow"/>
              </w:rPr>
              <w:t>Nom du référent handicap</w:t>
            </w:r>
            <w:r w:rsidRPr="002B1407">
              <w:rPr>
                <w:highlight w:val="yellow"/>
              </w:rPr>
              <w:t xml:space="preserve">, et assistant social : </w:t>
            </w:r>
            <w:r w:rsidRPr="002B1407">
              <w:rPr>
                <w:b/>
                <w:highlight w:val="yellow"/>
              </w:rPr>
              <w:t>00.00.00.00.00</w:t>
            </w:r>
          </w:p>
          <w:p w:rsidR="00D5408E" w:rsidRPr="008D2088" w:rsidRDefault="00D5408E" w:rsidP="00D5408E">
            <w:pPr>
              <w:pStyle w:val="Sansinterligne"/>
            </w:pPr>
            <w:r w:rsidRPr="008D2088">
              <w:rPr>
                <w:highlight w:val="yellow"/>
              </w:rPr>
              <w:t xml:space="preserve">Nom de </w:t>
            </w:r>
            <w:r w:rsidRPr="002B1407">
              <w:rPr>
                <w:highlight w:val="yellow"/>
              </w:rPr>
              <w:t xml:space="preserve">l’acteur RH, responsable des ressources humaines : </w:t>
            </w:r>
            <w:r w:rsidRPr="002B1407">
              <w:rPr>
                <w:b/>
                <w:highlight w:val="yellow"/>
              </w:rPr>
              <w:t>00.00.00.00.00</w:t>
            </w:r>
          </w:p>
          <w:p w:rsidR="00D5408E" w:rsidRPr="008D2088" w:rsidRDefault="00D5408E" w:rsidP="00D5408E">
            <w:pPr>
              <w:pStyle w:val="Sansinterligne"/>
            </w:pPr>
          </w:p>
          <w:p w:rsidR="00D5408E" w:rsidRPr="008D2088" w:rsidRDefault="00D5408E" w:rsidP="00D5408E">
            <w:pPr>
              <w:pStyle w:val="Sansinterligne"/>
            </w:pPr>
            <w:r w:rsidRPr="008D2088">
              <w:t xml:space="preserve">Vous trouverez par ailleurs dans ce courrier une information synthétique sur vos droits. Bien sûr, nous nous tenons à votre entière disposition pour en échanger plus largement. </w:t>
            </w:r>
          </w:p>
          <w:p w:rsidR="00D5408E" w:rsidRPr="008D2088" w:rsidRDefault="00D5408E" w:rsidP="00D5408E">
            <w:pPr>
              <w:pStyle w:val="Sansinterligne"/>
            </w:pPr>
          </w:p>
          <w:p w:rsidR="00D5408E" w:rsidRDefault="00D5408E" w:rsidP="00D5408E">
            <w:pPr>
              <w:pStyle w:val="Sansinterligne"/>
            </w:pPr>
            <w:r w:rsidRPr="008D2088">
              <w:t>Je vous souhaite un prompt rétablissement et espère vous revoir au plus tôt parmi nous.</w:t>
            </w:r>
          </w:p>
          <w:p w:rsidR="00D5408E" w:rsidRDefault="00D5408E" w:rsidP="00D5408E"/>
          <w:p w:rsidR="00D5408E" w:rsidRDefault="00D5408E" w:rsidP="00D5408E"/>
          <w:p w:rsidR="00D5408E" w:rsidRDefault="00D5408E" w:rsidP="00D5408E">
            <w:pPr>
              <w:pStyle w:val="Sansinterligne"/>
              <w:jc w:val="right"/>
            </w:pPr>
            <w:r w:rsidRPr="002B1407">
              <w:rPr>
                <w:highlight w:val="yellow"/>
              </w:rPr>
              <w:t>« Signature »</w:t>
            </w:r>
            <w:bookmarkStart w:id="0" w:name="_GoBack"/>
            <w:bookmarkEnd w:id="0"/>
          </w:p>
          <w:p w:rsidR="00D5408E" w:rsidRDefault="00D5408E" w:rsidP="00D5408E"/>
          <w:p w:rsidR="00D5408E" w:rsidRDefault="00D5408E" w:rsidP="00D5408E"/>
          <w:p w:rsidR="00D5408E" w:rsidRDefault="00D5408E" w:rsidP="00D5408E"/>
          <w:p w:rsidR="00D5408E" w:rsidRDefault="00D5408E" w:rsidP="00D5408E"/>
          <w:p w:rsidR="00D5408E" w:rsidRDefault="00D5408E" w:rsidP="00D5408E"/>
          <w:p w:rsidR="00D5408E" w:rsidRDefault="00D5408E" w:rsidP="00D5408E"/>
          <w:p w:rsidR="00D5408E" w:rsidRPr="00D5408E" w:rsidRDefault="00D5408E" w:rsidP="00D5408E"/>
          <w:p w:rsidR="00D5408E" w:rsidRPr="00D5408E" w:rsidRDefault="00D5408E" w:rsidP="00D5408E"/>
          <w:p w:rsidR="00D5408E" w:rsidRDefault="00D5408E" w:rsidP="00D5408E">
            <w:pPr>
              <w:pStyle w:val="Titre2"/>
              <w:framePr w:wrap="auto" w:vAnchor="margin" w:yAlign="inline"/>
              <w:outlineLvl w:val="1"/>
            </w:pPr>
            <w:r w:rsidRPr="008D2088">
              <w:t>Congés pour raisons de santé non imputables aux fonctions</w:t>
            </w:r>
            <w:r>
              <w:t> :</w:t>
            </w:r>
          </w:p>
          <w:p w:rsidR="00D5408E" w:rsidRPr="008D2088" w:rsidRDefault="00D5408E" w:rsidP="00D5408E"/>
          <w:tbl>
            <w:tblPr>
              <w:tblStyle w:val="Grilledutableau"/>
              <w:tblW w:w="0" w:type="auto"/>
              <w:tblLayout w:type="fixed"/>
              <w:tblLook w:val="04A0" w:firstRow="1" w:lastRow="0" w:firstColumn="1" w:lastColumn="0" w:noHBand="0" w:noVBand="1"/>
            </w:tblPr>
            <w:tblGrid>
              <w:gridCol w:w="1212"/>
              <w:gridCol w:w="2551"/>
              <w:gridCol w:w="2694"/>
              <w:gridCol w:w="2666"/>
            </w:tblGrid>
            <w:tr w:rsidR="00D5408E" w:rsidTr="00F35B19">
              <w:tc>
                <w:tcPr>
                  <w:tcW w:w="1212" w:type="dxa"/>
                  <w:shd w:val="clear" w:color="auto" w:fill="2A9DA4"/>
                  <w:vAlign w:val="center"/>
                </w:tcPr>
                <w:p w:rsidR="00D5408E" w:rsidRPr="008F5AF7" w:rsidRDefault="00D5408E" w:rsidP="00D5408E">
                  <w:pPr>
                    <w:pStyle w:val="Sansinterligne"/>
                    <w:ind w:left="357"/>
                    <w:rPr>
                      <w:b/>
                    </w:rPr>
                  </w:pPr>
                </w:p>
              </w:tc>
              <w:tc>
                <w:tcPr>
                  <w:tcW w:w="7911" w:type="dxa"/>
                  <w:gridSpan w:val="3"/>
                  <w:shd w:val="clear" w:color="auto" w:fill="2A9DA4"/>
                  <w:vAlign w:val="center"/>
                </w:tcPr>
                <w:p w:rsidR="00D5408E" w:rsidRPr="008F5AF7" w:rsidRDefault="00D5408E" w:rsidP="00D5408E">
                  <w:pPr>
                    <w:pStyle w:val="Sansinterligne"/>
                    <w:jc w:val="center"/>
                    <w:rPr>
                      <w:b/>
                    </w:rPr>
                  </w:pPr>
                  <w:r w:rsidRPr="008F5AF7">
                    <w:rPr>
                      <w:b/>
                      <w:color w:val="FFFFFF" w:themeColor="background1"/>
                    </w:rPr>
                    <w:t>Congés pour raisons de santé non imputables aux fonctions</w:t>
                  </w:r>
                </w:p>
              </w:tc>
            </w:tr>
            <w:tr w:rsidR="00D5408E" w:rsidTr="00F35B19">
              <w:tc>
                <w:tcPr>
                  <w:tcW w:w="1212" w:type="dxa"/>
                  <w:shd w:val="clear" w:color="auto" w:fill="2A9DA4"/>
                  <w:vAlign w:val="center"/>
                </w:tcPr>
                <w:p w:rsidR="00D5408E" w:rsidRDefault="00D5408E" w:rsidP="00D5408E"/>
              </w:tc>
              <w:tc>
                <w:tcPr>
                  <w:tcW w:w="2551" w:type="dxa"/>
                  <w:shd w:val="clear" w:color="auto" w:fill="2A9DA4"/>
                  <w:vAlign w:val="center"/>
                </w:tcPr>
                <w:p w:rsidR="00D5408E" w:rsidRPr="008F5AF7" w:rsidRDefault="00D5408E" w:rsidP="00D5408E">
                  <w:pPr>
                    <w:pStyle w:val="Sansinterligne"/>
                    <w:jc w:val="center"/>
                    <w:rPr>
                      <w:b/>
                    </w:rPr>
                  </w:pPr>
                  <w:r w:rsidRPr="008F5AF7">
                    <w:rPr>
                      <w:b/>
                      <w:color w:val="FFFFFF" w:themeColor="background1"/>
                    </w:rPr>
                    <w:t>Congé Maladie Ordinaire (CMO)</w:t>
                  </w:r>
                </w:p>
              </w:tc>
              <w:tc>
                <w:tcPr>
                  <w:tcW w:w="2694" w:type="dxa"/>
                  <w:shd w:val="clear" w:color="auto" w:fill="2A9DA4"/>
                  <w:vAlign w:val="center"/>
                </w:tcPr>
                <w:p w:rsidR="00D5408E" w:rsidRPr="008F5AF7" w:rsidRDefault="00D5408E" w:rsidP="00D5408E">
                  <w:pPr>
                    <w:pStyle w:val="Sansinterligne"/>
                    <w:jc w:val="center"/>
                    <w:rPr>
                      <w:b/>
                    </w:rPr>
                  </w:pPr>
                  <w:r w:rsidRPr="008F5AF7">
                    <w:rPr>
                      <w:b/>
                      <w:color w:val="FFFFFF" w:themeColor="background1"/>
                    </w:rPr>
                    <w:t>Congé Longue Maladie (CLM)</w:t>
                  </w:r>
                </w:p>
              </w:tc>
              <w:tc>
                <w:tcPr>
                  <w:tcW w:w="2666" w:type="dxa"/>
                  <w:shd w:val="clear" w:color="auto" w:fill="2A9DA4"/>
                  <w:vAlign w:val="center"/>
                </w:tcPr>
                <w:p w:rsidR="00D5408E" w:rsidRPr="008F5AF7" w:rsidRDefault="00D5408E" w:rsidP="00D5408E">
                  <w:pPr>
                    <w:pStyle w:val="Sansinterligne"/>
                    <w:jc w:val="center"/>
                    <w:rPr>
                      <w:b/>
                    </w:rPr>
                  </w:pPr>
                  <w:r w:rsidRPr="008F5AF7">
                    <w:rPr>
                      <w:b/>
                      <w:color w:val="FFFFFF" w:themeColor="background1"/>
                    </w:rPr>
                    <w:t>Congé Longue Durée (CLD)</w:t>
                  </w:r>
                </w:p>
              </w:tc>
            </w:tr>
            <w:tr w:rsidR="00D5408E" w:rsidTr="00F35B19">
              <w:tc>
                <w:tcPr>
                  <w:tcW w:w="1212" w:type="dxa"/>
                  <w:shd w:val="clear" w:color="auto" w:fill="2A9DA4"/>
                  <w:vAlign w:val="center"/>
                </w:tcPr>
                <w:p w:rsidR="00D5408E" w:rsidRPr="008F5AF7" w:rsidRDefault="00D5408E" w:rsidP="00D5408E">
                  <w:pPr>
                    <w:pStyle w:val="Sansinterligne"/>
                    <w:jc w:val="center"/>
                    <w:rPr>
                      <w:b/>
                    </w:rPr>
                  </w:pPr>
                  <w:r w:rsidRPr="008F5AF7">
                    <w:rPr>
                      <w:b/>
                      <w:color w:val="FFFFFF" w:themeColor="background1"/>
                    </w:rPr>
                    <w:t>Durée totale (en cumulé)</w:t>
                  </w:r>
                </w:p>
              </w:tc>
              <w:tc>
                <w:tcPr>
                  <w:tcW w:w="2551" w:type="dxa"/>
                  <w:vAlign w:val="center"/>
                </w:tcPr>
                <w:p w:rsidR="00D5408E" w:rsidRDefault="00D5408E" w:rsidP="00D5408E">
                  <w:pPr>
                    <w:pStyle w:val="Sansinterligne"/>
                    <w:jc w:val="center"/>
                  </w:pPr>
                  <w:r w:rsidRPr="715FD8B1">
                    <w:t>1 an</w:t>
                  </w:r>
                </w:p>
              </w:tc>
              <w:tc>
                <w:tcPr>
                  <w:tcW w:w="2694" w:type="dxa"/>
                  <w:vAlign w:val="center"/>
                </w:tcPr>
                <w:p w:rsidR="00D5408E" w:rsidRDefault="00D5408E" w:rsidP="00D5408E">
                  <w:pPr>
                    <w:pStyle w:val="Sansinterligne"/>
                    <w:jc w:val="center"/>
                  </w:pPr>
                  <w:r>
                    <w:t>3 ans</w:t>
                  </w:r>
                </w:p>
              </w:tc>
              <w:tc>
                <w:tcPr>
                  <w:tcW w:w="2666" w:type="dxa"/>
                  <w:vAlign w:val="center"/>
                </w:tcPr>
                <w:p w:rsidR="00D5408E" w:rsidRDefault="00D5408E" w:rsidP="00D5408E">
                  <w:pPr>
                    <w:pStyle w:val="Sansinterligne"/>
                    <w:jc w:val="center"/>
                  </w:pPr>
                  <w:r>
                    <w:t>5 ans</w:t>
                  </w:r>
                </w:p>
              </w:tc>
            </w:tr>
            <w:tr w:rsidR="00D5408E" w:rsidTr="00F35B19">
              <w:tc>
                <w:tcPr>
                  <w:tcW w:w="1212" w:type="dxa"/>
                  <w:shd w:val="clear" w:color="auto" w:fill="2A9DA4"/>
                  <w:vAlign w:val="center"/>
                </w:tcPr>
                <w:p w:rsidR="00D5408E" w:rsidRPr="008F5AF7" w:rsidRDefault="00D5408E" w:rsidP="00D5408E">
                  <w:pPr>
                    <w:pStyle w:val="Sansinterligne"/>
                    <w:jc w:val="center"/>
                    <w:rPr>
                      <w:b/>
                    </w:rPr>
                  </w:pPr>
                  <w:r w:rsidRPr="008F5AF7">
                    <w:rPr>
                      <w:b/>
                      <w:color w:val="FFFFFF" w:themeColor="background1"/>
                    </w:rPr>
                    <w:t>Droit à traitement</w:t>
                  </w:r>
                </w:p>
              </w:tc>
              <w:tc>
                <w:tcPr>
                  <w:tcW w:w="2551" w:type="dxa"/>
                  <w:vAlign w:val="center"/>
                </w:tcPr>
                <w:p w:rsidR="00D5408E" w:rsidRDefault="00D5408E" w:rsidP="00D5408E">
                  <w:pPr>
                    <w:pStyle w:val="Sansinterligne"/>
                    <w:jc w:val="center"/>
                  </w:pPr>
                  <w:r w:rsidRPr="715FD8B1">
                    <w:t>3 mois plein traitement + 9 mois demi-traitement (complété pendant 5 mois par le CGOS)</w:t>
                  </w:r>
                </w:p>
              </w:tc>
              <w:tc>
                <w:tcPr>
                  <w:tcW w:w="2694" w:type="dxa"/>
                  <w:vAlign w:val="center"/>
                </w:tcPr>
                <w:p w:rsidR="00D5408E" w:rsidRDefault="00D5408E" w:rsidP="00D5408E">
                  <w:pPr>
                    <w:pStyle w:val="Sansinterligne"/>
                    <w:jc w:val="center"/>
                  </w:pPr>
                  <w:r w:rsidRPr="715FD8B1">
                    <w:t xml:space="preserve">1 an plein traitement </w:t>
                  </w:r>
                  <w:r>
                    <w:br/>
                  </w:r>
                  <w:r w:rsidRPr="715FD8B1">
                    <w:t>+ 2 ans demi-traitement</w:t>
                  </w:r>
                </w:p>
              </w:tc>
              <w:tc>
                <w:tcPr>
                  <w:tcW w:w="2666" w:type="dxa"/>
                  <w:vAlign w:val="center"/>
                </w:tcPr>
                <w:p w:rsidR="00D5408E" w:rsidRDefault="00D5408E" w:rsidP="00D5408E">
                  <w:pPr>
                    <w:pStyle w:val="Sansinterligne"/>
                    <w:jc w:val="center"/>
                  </w:pPr>
                  <w:r w:rsidRPr="715FD8B1">
                    <w:t xml:space="preserve">3 ans plein traitement </w:t>
                  </w:r>
                  <w:r>
                    <w:br/>
                  </w:r>
                  <w:r w:rsidRPr="715FD8B1">
                    <w:t>+ 2 ans demi-traitement</w:t>
                  </w:r>
                </w:p>
              </w:tc>
            </w:tr>
            <w:tr w:rsidR="00D5408E" w:rsidTr="00F35B19">
              <w:tc>
                <w:tcPr>
                  <w:tcW w:w="1212" w:type="dxa"/>
                  <w:vMerge w:val="restart"/>
                  <w:shd w:val="clear" w:color="auto" w:fill="2A9DA4"/>
                  <w:vAlign w:val="center"/>
                </w:tcPr>
                <w:p w:rsidR="00D5408E" w:rsidRPr="00C61254" w:rsidRDefault="00D5408E" w:rsidP="00D5408E">
                  <w:pPr>
                    <w:pStyle w:val="Sansinterligne"/>
                    <w:jc w:val="center"/>
                    <w:rPr>
                      <w:b/>
                    </w:rPr>
                  </w:pPr>
                  <w:r w:rsidRPr="00C61254">
                    <w:rPr>
                      <w:b/>
                      <w:color w:val="FFFFFF" w:themeColor="background1"/>
                    </w:rPr>
                    <w:t>Primes</w:t>
                  </w:r>
                </w:p>
              </w:tc>
              <w:tc>
                <w:tcPr>
                  <w:tcW w:w="7911" w:type="dxa"/>
                  <w:gridSpan w:val="3"/>
                  <w:vAlign w:val="center"/>
                </w:tcPr>
                <w:p w:rsidR="00D5408E" w:rsidRDefault="00D5408E" w:rsidP="00D5408E">
                  <w:pPr>
                    <w:pStyle w:val="Sansinterligne"/>
                    <w:jc w:val="center"/>
                  </w:pPr>
                  <w:r w:rsidRPr="715FD8B1">
                    <w:t>Abattement 1/140ème de la prime de service par journée d’absence.</w:t>
                  </w:r>
                </w:p>
              </w:tc>
            </w:tr>
            <w:tr w:rsidR="00D5408E" w:rsidTr="00F35B19">
              <w:tc>
                <w:tcPr>
                  <w:tcW w:w="1212" w:type="dxa"/>
                  <w:vMerge/>
                  <w:shd w:val="clear" w:color="auto" w:fill="2A9DA4"/>
                  <w:vAlign w:val="center"/>
                </w:tcPr>
                <w:p w:rsidR="00D5408E" w:rsidRDefault="00D5408E" w:rsidP="00D5408E"/>
              </w:tc>
              <w:tc>
                <w:tcPr>
                  <w:tcW w:w="7911" w:type="dxa"/>
                  <w:gridSpan w:val="3"/>
                  <w:vAlign w:val="center"/>
                </w:tcPr>
                <w:p w:rsidR="00D5408E" w:rsidRDefault="00D5408E" w:rsidP="00D5408E">
                  <w:pPr>
                    <w:pStyle w:val="Sansinterligne"/>
                    <w:jc w:val="center"/>
                  </w:pPr>
                  <w:r w:rsidRPr="715FD8B1">
                    <w:t>Totalité du Supplément Familial de Traitement (SFT) et indemnité de résidence conservées</w:t>
                  </w:r>
                </w:p>
              </w:tc>
            </w:tr>
            <w:tr w:rsidR="00D5408E" w:rsidTr="00F35B19">
              <w:tc>
                <w:tcPr>
                  <w:tcW w:w="1212" w:type="dxa"/>
                  <w:vMerge/>
                  <w:shd w:val="clear" w:color="auto" w:fill="2A9DA4"/>
                  <w:vAlign w:val="center"/>
                </w:tcPr>
                <w:p w:rsidR="00D5408E" w:rsidRDefault="00D5408E" w:rsidP="00D5408E"/>
              </w:tc>
              <w:tc>
                <w:tcPr>
                  <w:tcW w:w="7911" w:type="dxa"/>
                  <w:gridSpan w:val="3"/>
                  <w:vAlign w:val="center"/>
                </w:tcPr>
                <w:p w:rsidR="00D5408E" w:rsidRDefault="00D5408E" w:rsidP="00D5408E">
                  <w:pPr>
                    <w:pStyle w:val="Sansinterligne"/>
                    <w:jc w:val="center"/>
                  </w:pPr>
                  <w:r w:rsidRPr="715FD8B1">
                    <w:t>Indemnités de Sujétions Spéciales (ISS) conservées dans les mêmes proportions que le traitement.</w:t>
                  </w:r>
                </w:p>
              </w:tc>
            </w:tr>
            <w:tr w:rsidR="00D5408E" w:rsidTr="00F35B19">
              <w:tc>
                <w:tcPr>
                  <w:tcW w:w="1212" w:type="dxa"/>
                  <w:vMerge/>
                  <w:shd w:val="clear" w:color="auto" w:fill="2A9DA4"/>
                  <w:vAlign w:val="center"/>
                </w:tcPr>
                <w:p w:rsidR="00D5408E" w:rsidRDefault="00D5408E" w:rsidP="00D5408E"/>
              </w:tc>
              <w:tc>
                <w:tcPr>
                  <w:tcW w:w="2551" w:type="dxa"/>
                  <w:vAlign w:val="center"/>
                </w:tcPr>
                <w:p w:rsidR="00D5408E" w:rsidRDefault="00D5408E" w:rsidP="00D5408E">
                  <w:pPr>
                    <w:pStyle w:val="Sansinterligne"/>
                    <w:jc w:val="center"/>
                  </w:pPr>
                  <w:r w:rsidRPr="715FD8B1">
                    <w:t>NBI conservée dans les mêmes proportions que le traitement</w:t>
                  </w:r>
                </w:p>
              </w:tc>
              <w:tc>
                <w:tcPr>
                  <w:tcW w:w="2694" w:type="dxa"/>
                  <w:vAlign w:val="center"/>
                </w:tcPr>
                <w:p w:rsidR="00D5408E" w:rsidRDefault="00D5408E" w:rsidP="00D5408E">
                  <w:pPr>
                    <w:pStyle w:val="Sansinterligne"/>
                    <w:jc w:val="center"/>
                  </w:pPr>
                  <w:r w:rsidRPr="715FD8B1">
                    <w:t>Totalité de la NBI conservée pendant 1 an puis la moitié pendant 2 ans, si l’agent n’a pas été remplacé dans ses fonctions</w:t>
                  </w:r>
                </w:p>
              </w:tc>
              <w:tc>
                <w:tcPr>
                  <w:tcW w:w="2666" w:type="dxa"/>
                  <w:vAlign w:val="center"/>
                </w:tcPr>
                <w:p w:rsidR="00D5408E" w:rsidRDefault="00D5408E" w:rsidP="00D5408E">
                  <w:pPr>
                    <w:pStyle w:val="Sansinterligne"/>
                    <w:jc w:val="center"/>
                  </w:pPr>
                  <w:r w:rsidRPr="715FD8B1">
                    <w:t>NBI suspendue</w:t>
                  </w:r>
                </w:p>
              </w:tc>
            </w:tr>
            <w:tr w:rsidR="00D5408E" w:rsidTr="00F35B19">
              <w:tc>
                <w:tcPr>
                  <w:tcW w:w="1212" w:type="dxa"/>
                  <w:vMerge w:val="restart"/>
                  <w:shd w:val="clear" w:color="auto" w:fill="2A9DA4"/>
                  <w:vAlign w:val="center"/>
                </w:tcPr>
                <w:p w:rsidR="00D5408E" w:rsidRPr="00C61254" w:rsidRDefault="00D5408E" w:rsidP="00D5408E">
                  <w:pPr>
                    <w:pStyle w:val="Sansinterligne"/>
                    <w:jc w:val="center"/>
                    <w:rPr>
                      <w:b/>
                    </w:rPr>
                  </w:pPr>
                  <w:r w:rsidRPr="00C61254">
                    <w:rPr>
                      <w:b/>
                      <w:color w:val="FFFFFF" w:themeColor="background1"/>
                    </w:rPr>
                    <w:t>Suites à donner à l’issue du congé</w:t>
                  </w:r>
                </w:p>
              </w:tc>
              <w:tc>
                <w:tcPr>
                  <w:tcW w:w="7911" w:type="dxa"/>
                  <w:gridSpan w:val="3"/>
                  <w:vAlign w:val="center"/>
                </w:tcPr>
                <w:p w:rsidR="00D5408E" w:rsidRDefault="00D5408E" w:rsidP="00D5408E">
                  <w:pPr>
                    <w:pStyle w:val="Sansinterligne"/>
                    <w:jc w:val="center"/>
                  </w:pPr>
                  <w:r w:rsidRPr="715FD8B1">
                    <w:t>Visite de reprise (éventuelle proposition d’aménagement de poste)</w:t>
                  </w:r>
                </w:p>
              </w:tc>
            </w:tr>
            <w:tr w:rsidR="00D5408E" w:rsidTr="00F35B19">
              <w:tc>
                <w:tcPr>
                  <w:tcW w:w="1212" w:type="dxa"/>
                  <w:vMerge/>
                  <w:shd w:val="clear" w:color="auto" w:fill="2A9DA4"/>
                  <w:vAlign w:val="center"/>
                </w:tcPr>
                <w:p w:rsidR="00D5408E" w:rsidRDefault="00D5408E" w:rsidP="00D5408E"/>
              </w:tc>
              <w:tc>
                <w:tcPr>
                  <w:tcW w:w="7911" w:type="dxa"/>
                  <w:gridSpan w:val="3"/>
                  <w:vAlign w:val="center"/>
                </w:tcPr>
                <w:p w:rsidR="00D5408E" w:rsidRDefault="00D5408E" w:rsidP="00D5408E">
                  <w:pPr>
                    <w:pStyle w:val="Sansinterligne"/>
                    <w:jc w:val="center"/>
                  </w:pPr>
                  <w:r w:rsidRPr="715FD8B1">
                    <w:t>Agent apte : reprise éventuellement sur un poste de reclassement, temps partiel thérapeutique</w:t>
                  </w:r>
                </w:p>
              </w:tc>
            </w:tr>
            <w:tr w:rsidR="00D5408E" w:rsidTr="00F35B19">
              <w:tc>
                <w:tcPr>
                  <w:tcW w:w="1212" w:type="dxa"/>
                  <w:vMerge/>
                  <w:shd w:val="clear" w:color="auto" w:fill="2A9DA4"/>
                  <w:vAlign w:val="center"/>
                </w:tcPr>
                <w:p w:rsidR="00D5408E" w:rsidRDefault="00D5408E" w:rsidP="00D5408E"/>
              </w:tc>
              <w:tc>
                <w:tcPr>
                  <w:tcW w:w="2551" w:type="dxa"/>
                  <w:vAlign w:val="center"/>
                </w:tcPr>
                <w:p w:rsidR="00D5408E" w:rsidRDefault="00D5408E" w:rsidP="00D5408E">
                  <w:pPr>
                    <w:pStyle w:val="Sansinterligne"/>
                    <w:jc w:val="center"/>
                  </w:pPr>
                  <w:r w:rsidRPr="715FD8B1">
                    <w:t>Agent inapte : éventuel placement en CLM/CLD</w:t>
                  </w:r>
                </w:p>
              </w:tc>
              <w:tc>
                <w:tcPr>
                  <w:tcW w:w="5360" w:type="dxa"/>
                  <w:gridSpan w:val="2"/>
                  <w:vAlign w:val="center"/>
                </w:tcPr>
                <w:p w:rsidR="00D5408E" w:rsidRDefault="00D5408E" w:rsidP="00D5408E">
                  <w:pPr>
                    <w:pStyle w:val="Sansinterligne"/>
                    <w:jc w:val="center"/>
                  </w:pPr>
                  <w:r w:rsidRPr="715FD8B1">
                    <w:t>Agent inapte avant la fin du CLM/CLD : le congé continue de courir</w:t>
                  </w:r>
                </w:p>
              </w:tc>
            </w:tr>
            <w:tr w:rsidR="00D5408E" w:rsidTr="00F35B19">
              <w:tc>
                <w:tcPr>
                  <w:tcW w:w="1212" w:type="dxa"/>
                  <w:vMerge/>
                  <w:shd w:val="clear" w:color="auto" w:fill="2A9DA4"/>
                  <w:vAlign w:val="center"/>
                </w:tcPr>
                <w:p w:rsidR="00D5408E" w:rsidRDefault="00D5408E" w:rsidP="00D5408E"/>
              </w:tc>
              <w:tc>
                <w:tcPr>
                  <w:tcW w:w="7911" w:type="dxa"/>
                  <w:gridSpan w:val="3"/>
                  <w:vAlign w:val="center"/>
                </w:tcPr>
                <w:p w:rsidR="00D5408E" w:rsidRDefault="00D5408E" w:rsidP="00D5408E">
                  <w:pPr>
                    <w:pStyle w:val="Sansinterligne"/>
                  </w:pPr>
                  <w:r w:rsidRPr="715FD8B1">
                    <w:t>Agent inapte à ses fonctions à l’issue du CMO, CLM ou CLD :</w:t>
                  </w:r>
                </w:p>
                <w:p w:rsidR="00D5408E" w:rsidRPr="009D3773" w:rsidRDefault="00D5408E" w:rsidP="00D5408E">
                  <w:pPr>
                    <w:pStyle w:val="Sansinterligne"/>
                    <w:numPr>
                      <w:ilvl w:val="0"/>
                      <w:numId w:val="13"/>
                    </w:numPr>
                  </w:pPr>
                  <w:r w:rsidRPr="715FD8B1">
                    <w:t>reclassement,</w:t>
                  </w:r>
                </w:p>
                <w:p w:rsidR="00D5408E" w:rsidRDefault="00D5408E" w:rsidP="00D5408E">
                  <w:pPr>
                    <w:pStyle w:val="Sansinterligne"/>
                    <w:numPr>
                      <w:ilvl w:val="0"/>
                      <w:numId w:val="12"/>
                    </w:numPr>
                  </w:pPr>
                  <w:r w:rsidRPr="715FD8B1">
                    <w:t>mise en disponibilité d’office si conditions remplies et si reclassement impossible,</w:t>
                  </w:r>
                </w:p>
                <w:p w:rsidR="00D5408E" w:rsidRDefault="00D5408E" w:rsidP="00D5408E">
                  <w:pPr>
                    <w:pStyle w:val="Sansinterligne"/>
                    <w:numPr>
                      <w:ilvl w:val="0"/>
                      <w:numId w:val="12"/>
                    </w:numPr>
                  </w:pPr>
                  <w:r w:rsidRPr="715FD8B1">
                    <w:t>retraite pour invalidité ou licenciement si pas droit à pension.</w:t>
                  </w:r>
                </w:p>
              </w:tc>
            </w:tr>
            <w:tr w:rsidR="00D5408E" w:rsidTr="00F35B19">
              <w:tc>
                <w:tcPr>
                  <w:tcW w:w="1212" w:type="dxa"/>
                  <w:shd w:val="clear" w:color="auto" w:fill="2A9DA4"/>
                  <w:vAlign w:val="center"/>
                </w:tcPr>
                <w:p w:rsidR="00D5408E" w:rsidRPr="00B80E23" w:rsidRDefault="00D5408E" w:rsidP="00D5408E">
                  <w:pPr>
                    <w:pStyle w:val="Sansinterligne"/>
                    <w:jc w:val="center"/>
                    <w:rPr>
                      <w:b/>
                    </w:rPr>
                  </w:pPr>
                  <w:r w:rsidRPr="00B80E23">
                    <w:rPr>
                      <w:b/>
                      <w:color w:val="FFFFFF" w:themeColor="background1"/>
                    </w:rPr>
                    <w:t>Maintien éventuel de salaire</w:t>
                  </w:r>
                </w:p>
              </w:tc>
              <w:tc>
                <w:tcPr>
                  <w:tcW w:w="7911" w:type="dxa"/>
                  <w:gridSpan w:val="3"/>
                  <w:vAlign w:val="center"/>
                </w:tcPr>
                <w:p w:rsidR="00D5408E" w:rsidRDefault="00D5408E" w:rsidP="00D5408E">
                  <w:pPr>
                    <w:pStyle w:val="Sansinterligne"/>
                    <w:jc w:val="center"/>
                  </w:pPr>
                  <w:r w:rsidRPr="715FD8B1">
                    <w:t>Le demi-traitement est maintenu pendant l’attente des différents avis.</w:t>
                  </w:r>
                </w:p>
              </w:tc>
            </w:tr>
          </w:tbl>
          <w:p w:rsidR="00D5408E" w:rsidRDefault="00D5408E" w:rsidP="00D5408E"/>
          <w:p w:rsidR="00D42095" w:rsidRDefault="00D42095" w:rsidP="00354CD0">
            <w:pPr>
              <w:pStyle w:val="Sansinterligne"/>
              <w:jc w:val="right"/>
            </w:pPr>
          </w:p>
          <w:p w:rsidR="00D5408E" w:rsidRDefault="00D5408E" w:rsidP="00D5408E"/>
          <w:p w:rsidR="00D5408E" w:rsidRDefault="00D5408E" w:rsidP="00D5408E"/>
          <w:p w:rsidR="00D5408E" w:rsidRDefault="00D5408E" w:rsidP="00D5408E"/>
          <w:p w:rsidR="00D5408E" w:rsidRDefault="00D5408E" w:rsidP="00D5408E"/>
          <w:p w:rsidR="00D5408E" w:rsidRDefault="00D5408E" w:rsidP="00D5408E"/>
          <w:p w:rsidR="00D5408E" w:rsidRDefault="00D5408E" w:rsidP="00D5408E"/>
          <w:p w:rsidR="00D5408E" w:rsidRDefault="00D5408E" w:rsidP="00D5408E"/>
          <w:p w:rsidR="00D5408E" w:rsidRDefault="00D5408E" w:rsidP="00D5408E"/>
          <w:p w:rsidR="00D5408E" w:rsidRDefault="00234102" w:rsidP="00D5408E">
            <w:r w:rsidRPr="00362463">
              <w:rPr>
                <w:i/>
                <w:sz w:val="16"/>
                <w:szCs w:val="16"/>
              </w:rPr>
              <w:t>Source : Guide relatif à la protection sociale des fonctionnaires hospitaliers contre les risques maladies et accident de service</w:t>
            </w:r>
          </w:p>
          <w:p w:rsidR="00D5408E" w:rsidRDefault="00D5408E" w:rsidP="00D5408E">
            <w:pPr>
              <w:pStyle w:val="Titre2"/>
              <w:framePr w:wrap="auto" w:vAnchor="margin" w:yAlign="inline"/>
              <w:outlineLvl w:val="1"/>
            </w:pPr>
            <w:r w:rsidRPr="008D2088">
              <w:t>Congés pour raisons de santé imputables aux fonctions</w:t>
            </w:r>
            <w:r>
              <w:t> :</w:t>
            </w:r>
          </w:p>
          <w:p w:rsidR="00D5408E" w:rsidRPr="008D2088" w:rsidRDefault="00D5408E" w:rsidP="00D5408E"/>
          <w:tbl>
            <w:tblPr>
              <w:tblStyle w:val="Grilledutableau"/>
              <w:tblW w:w="0" w:type="auto"/>
              <w:tblLayout w:type="fixed"/>
              <w:tblLook w:val="04A0" w:firstRow="1" w:lastRow="0" w:firstColumn="1" w:lastColumn="0" w:noHBand="0" w:noVBand="1"/>
            </w:tblPr>
            <w:tblGrid>
              <w:gridCol w:w="1212"/>
              <w:gridCol w:w="2551"/>
              <w:gridCol w:w="86"/>
              <w:gridCol w:w="2608"/>
              <w:gridCol w:w="29"/>
              <w:gridCol w:w="2637"/>
            </w:tblGrid>
            <w:tr w:rsidR="00D5408E" w:rsidTr="00F35B19">
              <w:tc>
                <w:tcPr>
                  <w:tcW w:w="1212" w:type="dxa"/>
                  <w:shd w:val="clear" w:color="auto" w:fill="2A9DA4"/>
                  <w:vAlign w:val="center"/>
                </w:tcPr>
                <w:p w:rsidR="00D5408E" w:rsidRPr="008F5AF7" w:rsidRDefault="00D5408E" w:rsidP="00D5408E">
                  <w:pPr>
                    <w:pStyle w:val="Sansinterligne"/>
                    <w:ind w:left="357"/>
                    <w:rPr>
                      <w:b/>
                    </w:rPr>
                  </w:pPr>
                </w:p>
              </w:tc>
              <w:tc>
                <w:tcPr>
                  <w:tcW w:w="7911" w:type="dxa"/>
                  <w:gridSpan w:val="5"/>
                  <w:shd w:val="clear" w:color="auto" w:fill="2A9DA4"/>
                  <w:vAlign w:val="center"/>
                </w:tcPr>
                <w:p w:rsidR="00D5408E" w:rsidRPr="008F5AF7" w:rsidRDefault="00D5408E" w:rsidP="00D5408E">
                  <w:pPr>
                    <w:pStyle w:val="Sansinterligne"/>
                    <w:jc w:val="center"/>
                    <w:rPr>
                      <w:b/>
                    </w:rPr>
                  </w:pPr>
                  <w:r w:rsidRPr="008F5AF7">
                    <w:rPr>
                      <w:b/>
                      <w:color w:val="FFFFFF" w:themeColor="background1"/>
                    </w:rPr>
                    <w:t xml:space="preserve">Congés pour raisons de </w:t>
                  </w:r>
                  <w:proofErr w:type="spellStart"/>
                  <w:r w:rsidRPr="008F5AF7">
                    <w:rPr>
                      <w:b/>
                      <w:color w:val="FFFFFF" w:themeColor="background1"/>
                    </w:rPr>
                    <w:t>santéimputables</w:t>
                  </w:r>
                  <w:proofErr w:type="spellEnd"/>
                  <w:r w:rsidRPr="008F5AF7">
                    <w:rPr>
                      <w:b/>
                      <w:color w:val="FFFFFF" w:themeColor="background1"/>
                    </w:rPr>
                    <w:t xml:space="preserve"> aux fonctions</w:t>
                  </w:r>
                </w:p>
              </w:tc>
            </w:tr>
            <w:tr w:rsidR="00D5408E" w:rsidTr="00F35B19">
              <w:tc>
                <w:tcPr>
                  <w:tcW w:w="1212" w:type="dxa"/>
                  <w:shd w:val="clear" w:color="auto" w:fill="2A9DA4"/>
                  <w:vAlign w:val="center"/>
                </w:tcPr>
                <w:p w:rsidR="00D5408E" w:rsidRDefault="00D5408E" w:rsidP="00D5408E"/>
              </w:tc>
              <w:tc>
                <w:tcPr>
                  <w:tcW w:w="2551" w:type="dxa"/>
                  <w:shd w:val="clear" w:color="auto" w:fill="2A9DA4"/>
                  <w:vAlign w:val="center"/>
                </w:tcPr>
                <w:p w:rsidR="00D5408E" w:rsidRPr="008F5AF7" w:rsidRDefault="00D5408E" w:rsidP="00D5408E">
                  <w:pPr>
                    <w:pStyle w:val="Sansinterligne"/>
                    <w:jc w:val="center"/>
                    <w:rPr>
                      <w:b/>
                    </w:rPr>
                  </w:pPr>
                  <w:r w:rsidRPr="008F5AF7">
                    <w:rPr>
                      <w:b/>
                      <w:color w:val="FFFFFF" w:themeColor="background1"/>
                    </w:rPr>
                    <w:t>Congé Maladie Ordinaire (CMO)</w:t>
                  </w:r>
                </w:p>
              </w:tc>
              <w:tc>
                <w:tcPr>
                  <w:tcW w:w="2694" w:type="dxa"/>
                  <w:gridSpan w:val="2"/>
                  <w:shd w:val="clear" w:color="auto" w:fill="2A9DA4"/>
                  <w:vAlign w:val="center"/>
                </w:tcPr>
                <w:p w:rsidR="00D5408E" w:rsidRPr="008F5AF7" w:rsidRDefault="00D5408E" w:rsidP="00D5408E">
                  <w:pPr>
                    <w:pStyle w:val="Sansinterligne"/>
                    <w:jc w:val="center"/>
                    <w:rPr>
                      <w:b/>
                    </w:rPr>
                  </w:pPr>
                  <w:r w:rsidRPr="008F5AF7">
                    <w:rPr>
                      <w:b/>
                      <w:color w:val="FFFFFF" w:themeColor="background1"/>
                    </w:rPr>
                    <w:t>Congé Longue Maladie (CLM)</w:t>
                  </w:r>
                </w:p>
              </w:tc>
              <w:tc>
                <w:tcPr>
                  <w:tcW w:w="2666" w:type="dxa"/>
                  <w:gridSpan w:val="2"/>
                  <w:shd w:val="clear" w:color="auto" w:fill="2A9DA4"/>
                  <w:vAlign w:val="center"/>
                </w:tcPr>
                <w:p w:rsidR="00D5408E" w:rsidRPr="008F5AF7" w:rsidRDefault="00D5408E" w:rsidP="00D5408E">
                  <w:pPr>
                    <w:pStyle w:val="Sansinterligne"/>
                    <w:jc w:val="center"/>
                    <w:rPr>
                      <w:b/>
                    </w:rPr>
                  </w:pPr>
                  <w:r w:rsidRPr="008F5AF7">
                    <w:rPr>
                      <w:b/>
                      <w:color w:val="FFFFFF" w:themeColor="background1"/>
                    </w:rPr>
                    <w:t>Congé Longue Durée (CLD)</w:t>
                  </w:r>
                </w:p>
              </w:tc>
            </w:tr>
            <w:tr w:rsidR="00D5408E" w:rsidTr="00F35B19">
              <w:tc>
                <w:tcPr>
                  <w:tcW w:w="1212" w:type="dxa"/>
                  <w:shd w:val="clear" w:color="auto" w:fill="2A9DA4"/>
                  <w:vAlign w:val="center"/>
                </w:tcPr>
                <w:p w:rsidR="00D5408E" w:rsidRPr="008F5AF7" w:rsidRDefault="00D5408E" w:rsidP="00D5408E">
                  <w:pPr>
                    <w:pStyle w:val="Sansinterligne"/>
                    <w:jc w:val="center"/>
                    <w:rPr>
                      <w:b/>
                    </w:rPr>
                  </w:pPr>
                  <w:r w:rsidRPr="008F5AF7">
                    <w:rPr>
                      <w:b/>
                      <w:color w:val="FFFFFF" w:themeColor="background1"/>
                    </w:rPr>
                    <w:t>Durée</w:t>
                  </w:r>
                </w:p>
              </w:tc>
              <w:tc>
                <w:tcPr>
                  <w:tcW w:w="2551" w:type="dxa"/>
                  <w:vAlign w:val="center"/>
                </w:tcPr>
                <w:p w:rsidR="00D5408E" w:rsidRDefault="00D5408E" w:rsidP="00D5408E">
                  <w:pPr>
                    <w:pStyle w:val="Sansinterligne"/>
                    <w:jc w:val="center"/>
                  </w:pPr>
                  <w:r w:rsidRPr="715FD8B1">
                    <w:t>1 an</w:t>
                  </w:r>
                </w:p>
              </w:tc>
              <w:tc>
                <w:tcPr>
                  <w:tcW w:w="2694" w:type="dxa"/>
                  <w:gridSpan w:val="2"/>
                  <w:vAlign w:val="center"/>
                </w:tcPr>
                <w:p w:rsidR="00D5408E" w:rsidRDefault="00D5408E" w:rsidP="00D5408E">
                  <w:pPr>
                    <w:pStyle w:val="Sansinterligne"/>
                    <w:jc w:val="center"/>
                  </w:pPr>
                  <w:r>
                    <w:t>3 ans</w:t>
                  </w:r>
                </w:p>
              </w:tc>
              <w:tc>
                <w:tcPr>
                  <w:tcW w:w="2666" w:type="dxa"/>
                  <w:gridSpan w:val="2"/>
                  <w:vAlign w:val="center"/>
                </w:tcPr>
                <w:p w:rsidR="00D5408E" w:rsidRDefault="00D5408E" w:rsidP="00D5408E">
                  <w:pPr>
                    <w:pStyle w:val="Sansinterligne"/>
                    <w:jc w:val="center"/>
                  </w:pPr>
                  <w:r>
                    <w:t>8 ans</w:t>
                  </w:r>
                </w:p>
              </w:tc>
            </w:tr>
            <w:tr w:rsidR="00D5408E" w:rsidTr="00F35B19">
              <w:tc>
                <w:tcPr>
                  <w:tcW w:w="1212" w:type="dxa"/>
                  <w:shd w:val="clear" w:color="auto" w:fill="2A9DA4"/>
                  <w:vAlign w:val="center"/>
                </w:tcPr>
                <w:p w:rsidR="00D5408E" w:rsidRPr="008F5AF7" w:rsidRDefault="00D5408E" w:rsidP="00D5408E">
                  <w:pPr>
                    <w:pStyle w:val="Sansinterligne"/>
                    <w:jc w:val="center"/>
                    <w:rPr>
                      <w:b/>
                    </w:rPr>
                  </w:pPr>
                  <w:r w:rsidRPr="008F5AF7">
                    <w:rPr>
                      <w:b/>
                      <w:color w:val="FFFFFF" w:themeColor="background1"/>
                    </w:rPr>
                    <w:t>Droit à traitement</w:t>
                  </w:r>
                </w:p>
              </w:tc>
              <w:tc>
                <w:tcPr>
                  <w:tcW w:w="2551" w:type="dxa"/>
                  <w:vAlign w:val="center"/>
                </w:tcPr>
                <w:p w:rsidR="00D5408E" w:rsidRDefault="00D5408E" w:rsidP="00D5408E">
                  <w:pPr>
                    <w:pStyle w:val="Sansinterligne"/>
                    <w:jc w:val="center"/>
                  </w:pPr>
                  <w:r w:rsidRPr="715FD8B1">
                    <w:t xml:space="preserve">3 mois plein traitement + </w:t>
                  </w:r>
                  <w:r>
                    <w:br/>
                  </w:r>
                  <w:r w:rsidRPr="715FD8B1">
                    <w:t>9 mois demi-traitement</w:t>
                  </w:r>
                </w:p>
              </w:tc>
              <w:tc>
                <w:tcPr>
                  <w:tcW w:w="2694" w:type="dxa"/>
                  <w:gridSpan w:val="2"/>
                  <w:vAlign w:val="center"/>
                </w:tcPr>
                <w:p w:rsidR="00D5408E" w:rsidRDefault="00D5408E" w:rsidP="00D5408E">
                  <w:pPr>
                    <w:pStyle w:val="Sansinterligne"/>
                    <w:jc w:val="center"/>
                  </w:pPr>
                  <w:r>
                    <w:t>3</w:t>
                  </w:r>
                  <w:r w:rsidRPr="715FD8B1">
                    <w:t xml:space="preserve"> an</w:t>
                  </w:r>
                  <w:r>
                    <w:t>s</w:t>
                  </w:r>
                  <w:r w:rsidRPr="715FD8B1">
                    <w:t xml:space="preserve"> plein traitement</w:t>
                  </w:r>
                </w:p>
              </w:tc>
              <w:tc>
                <w:tcPr>
                  <w:tcW w:w="2666" w:type="dxa"/>
                  <w:gridSpan w:val="2"/>
                  <w:vAlign w:val="center"/>
                </w:tcPr>
                <w:p w:rsidR="00D5408E" w:rsidRDefault="00D5408E" w:rsidP="00D5408E">
                  <w:pPr>
                    <w:pStyle w:val="Sansinterligne"/>
                    <w:jc w:val="center"/>
                  </w:pPr>
                  <w:r>
                    <w:t>5</w:t>
                  </w:r>
                  <w:r w:rsidRPr="715FD8B1">
                    <w:t xml:space="preserve"> ans plein traitement </w:t>
                  </w:r>
                  <w:r>
                    <w:br/>
                  </w:r>
                  <w:r w:rsidRPr="715FD8B1">
                    <w:t xml:space="preserve">+ </w:t>
                  </w:r>
                  <w:r>
                    <w:t>3</w:t>
                  </w:r>
                  <w:r w:rsidRPr="715FD8B1">
                    <w:t xml:space="preserve"> ans demi-traitement</w:t>
                  </w:r>
                </w:p>
              </w:tc>
            </w:tr>
            <w:tr w:rsidR="00D5408E" w:rsidTr="00F35B19">
              <w:tc>
                <w:tcPr>
                  <w:tcW w:w="1212" w:type="dxa"/>
                  <w:vMerge w:val="restart"/>
                  <w:shd w:val="clear" w:color="auto" w:fill="2A9DA4"/>
                  <w:vAlign w:val="center"/>
                </w:tcPr>
                <w:p w:rsidR="00D5408E" w:rsidRPr="00C61254" w:rsidRDefault="00D5408E" w:rsidP="00D5408E">
                  <w:pPr>
                    <w:pStyle w:val="Sansinterligne"/>
                    <w:jc w:val="center"/>
                    <w:rPr>
                      <w:b/>
                    </w:rPr>
                  </w:pPr>
                  <w:r w:rsidRPr="00C61254">
                    <w:rPr>
                      <w:b/>
                      <w:color w:val="FFFFFF" w:themeColor="background1"/>
                    </w:rPr>
                    <w:t>Primes</w:t>
                  </w:r>
                </w:p>
              </w:tc>
              <w:tc>
                <w:tcPr>
                  <w:tcW w:w="7911" w:type="dxa"/>
                  <w:gridSpan w:val="5"/>
                  <w:vAlign w:val="center"/>
                </w:tcPr>
                <w:p w:rsidR="00D5408E" w:rsidRDefault="00D5408E" w:rsidP="00D5408E">
                  <w:pPr>
                    <w:pStyle w:val="Sansinterligne"/>
                    <w:jc w:val="center"/>
                  </w:pPr>
                  <w:r w:rsidRPr="715FD8B1">
                    <w:t>Abattement 1/140ème de la prime de service par journée d’absence.</w:t>
                  </w:r>
                </w:p>
              </w:tc>
            </w:tr>
            <w:tr w:rsidR="00D5408E" w:rsidTr="00F35B19">
              <w:tc>
                <w:tcPr>
                  <w:tcW w:w="1212" w:type="dxa"/>
                  <w:vMerge/>
                  <w:shd w:val="clear" w:color="auto" w:fill="2A9DA4"/>
                  <w:vAlign w:val="center"/>
                </w:tcPr>
                <w:p w:rsidR="00D5408E" w:rsidRDefault="00D5408E" w:rsidP="00D5408E"/>
              </w:tc>
              <w:tc>
                <w:tcPr>
                  <w:tcW w:w="7911" w:type="dxa"/>
                  <w:gridSpan w:val="5"/>
                  <w:vAlign w:val="center"/>
                </w:tcPr>
                <w:p w:rsidR="00D5408E" w:rsidRDefault="00D5408E" w:rsidP="00D5408E">
                  <w:pPr>
                    <w:pStyle w:val="Sansinterligne"/>
                    <w:jc w:val="center"/>
                  </w:pPr>
                  <w:r w:rsidRPr="715FD8B1">
                    <w:t>Totalité du Supplément Familial de Traitement (SFT) et indemnité de résidence conservées</w:t>
                  </w:r>
                </w:p>
              </w:tc>
            </w:tr>
            <w:tr w:rsidR="00D5408E" w:rsidTr="00F35B19">
              <w:tc>
                <w:tcPr>
                  <w:tcW w:w="1212" w:type="dxa"/>
                  <w:vMerge/>
                  <w:shd w:val="clear" w:color="auto" w:fill="2A9DA4"/>
                  <w:vAlign w:val="center"/>
                </w:tcPr>
                <w:p w:rsidR="00D5408E" w:rsidRDefault="00D5408E" w:rsidP="00D5408E"/>
              </w:tc>
              <w:tc>
                <w:tcPr>
                  <w:tcW w:w="7911" w:type="dxa"/>
                  <w:gridSpan w:val="5"/>
                  <w:vAlign w:val="center"/>
                </w:tcPr>
                <w:p w:rsidR="00D5408E" w:rsidRDefault="00D5408E" w:rsidP="00D5408E">
                  <w:pPr>
                    <w:pStyle w:val="Sansinterligne"/>
                    <w:jc w:val="center"/>
                  </w:pPr>
                  <w:r w:rsidRPr="715FD8B1">
                    <w:t>Indemnités de Sujétions Spéciales (ISS) conservées dans les mêmes proportions que le traitement.</w:t>
                  </w:r>
                </w:p>
              </w:tc>
            </w:tr>
            <w:tr w:rsidR="00D5408E" w:rsidTr="00F35B19">
              <w:tc>
                <w:tcPr>
                  <w:tcW w:w="1212" w:type="dxa"/>
                  <w:vMerge/>
                  <w:shd w:val="clear" w:color="auto" w:fill="2A9DA4"/>
                  <w:vAlign w:val="center"/>
                </w:tcPr>
                <w:p w:rsidR="00D5408E" w:rsidRDefault="00D5408E" w:rsidP="00D5408E"/>
              </w:tc>
              <w:tc>
                <w:tcPr>
                  <w:tcW w:w="2551" w:type="dxa"/>
                  <w:vAlign w:val="center"/>
                </w:tcPr>
                <w:p w:rsidR="00D5408E" w:rsidRDefault="00D5408E" w:rsidP="00D5408E">
                  <w:pPr>
                    <w:pStyle w:val="Sansinterligne"/>
                    <w:jc w:val="center"/>
                  </w:pPr>
                  <w:r w:rsidRPr="715FD8B1">
                    <w:t>NBI conservée dans les mêmes proportions que le traitement</w:t>
                  </w:r>
                </w:p>
              </w:tc>
              <w:tc>
                <w:tcPr>
                  <w:tcW w:w="2694" w:type="dxa"/>
                  <w:gridSpan w:val="2"/>
                  <w:vAlign w:val="center"/>
                </w:tcPr>
                <w:p w:rsidR="00D5408E" w:rsidRDefault="00D5408E" w:rsidP="00D5408E">
                  <w:pPr>
                    <w:pStyle w:val="Sansinterligne"/>
                    <w:jc w:val="center"/>
                  </w:pPr>
                  <w:r w:rsidRPr="715FD8B1">
                    <w:t>Totalité de la NBI conservée pendant 1 an puis la moitié pendant 2 ans, si l’agent n’a pas été remplacé dans ses fonctions</w:t>
                  </w:r>
                </w:p>
              </w:tc>
              <w:tc>
                <w:tcPr>
                  <w:tcW w:w="2666" w:type="dxa"/>
                  <w:gridSpan w:val="2"/>
                  <w:vAlign w:val="center"/>
                </w:tcPr>
                <w:p w:rsidR="00D5408E" w:rsidRDefault="00D5408E" w:rsidP="00D5408E">
                  <w:pPr>
                    <w:pStyle w:val="Sansinterligne"/>
                    <w:jc w:val="center"/>
                  </w:pPr>
                  <w:r w:rsidRPr="715FD8B1">
                    <w:t>NBI suspendue</w:t>
                  </w:r>
                </w:p>
              </w:tc>
            </w:tr>
            <w:tr w:rsidR="00D5408E" w:rsidTr="00F35B19">
              <w:tc>
                <w:tcPr>
                  <w:tcW w:w="1212" w:type="dxa"/>
                  <w:vMerge w:val="restart"/>
                  <w:shd w:val="clear" w:color="auto" w:fill="2A9DA4"/>
                  <w:vAlign w:val="center"/>
                </w:tcPr>
                <w:p w:rsidR="00D5408E" w:rsidRPr="00C61254" w:rsidRDefault="00D5408E" w:rsidP="00D5408E">
                  <w:pPr>
                    <w:pStyle w:val="Sansinterligne"/>
                    <w:jc w:val="center"/>
                    <w:rPr>
                      <w:b/>
                    </w:rPr>
                  </w:pPr>
                  <w:r w:rsidRPr="00C61254">
                    <w:rPr>
                      <w:b/>
                      <w:color w:val="FFFFFF" w:themeColor="background1"/>
                    </w:rPr>
                    <w:t>Suites à donner à l’issue du congé</w:t>
                  </w:r>
                </w:p>
              </w:tc>
              <w:tc>
                <w:tcPr>
                  <w:tcW w:w="7911" w:type="dxa"/>
                  <w:gridSpan w:val="5"/>
                  <w:vAlign w:val="center"/>
                </w:tcPr>
                <w:p w:rsidR="00D5408E" w:rsidRDefault="00D5408E" w:rsidP="00D5408E">
                  <w:pPr>
                    <w:pStyle w:val="Sansinterligne"/>
                    <w:jc w:val="center"/>
                  </w:pPr>
                  <w:r w:rsidRPr="715FD8B1">
                    <w:t>Visite de reprise (éventuelle proposition d’aménagement de poste)</w:t>
                  </w:r>
                </w:p>
              </w:tc>
            </w:tr>
            <w:tr w:rsidR="00D5408E" w:rsidTr="00F35B19">
              <w:tc>
                <w:tcPr>
                  <w:tcW w:w="1212" w:type="dxa"/>
                  <w:vMerge/>
                  <w:shd w:val="clear" w:color="auto" w:fill="2A9DA4"/>
                  <w:vAlign w:val="center"/>
                </w:tcPr>
                <w:p w:rsidR="00D5408E" w:rsidRDefault="00D5408E" w:rsidP="00D5408E"/>
              </w:tc>
              <w:tc>
                <w:tcPr>
                  <w:tcW w:w="7911" w:type="dxa"/>
                  <w:gridSpan w:val="5"/>
                  <w:vAlign w:val="center"/>
                </w:tcPr>
                <w:p w:rsidR="00D5408E" w:rsidRDefault="00D5408E" w:rsidP="00D5408E">
                  <w:pPr>
                    <w:pStyle w:val="Sansinterligne"/>
                    <w:jc w:val="center"/>
                  </w:pPr>
                  <w:r w:rsidRPr="715FD8B1">
                    <w:t>Agent apte : reprise éventuellement sur un poste de reclassement, temps partiel thérapeutique</w:t>
                  </w:r>
                </w:p>
              </w:tc>
            </w:tr>
            <w:tr w:rsidR="00D5408E" w:rsidTr="00F35B19">
              <w:tc>
                <w:tcPr>
                  <w:tcW w:w="1212" w:type="dxa"/>
                  <w:vMerge/>
                  <w:shd w:val="clear" w:color="auto" w:fill="2A9DA4"/>
                  <w:vAlign w:val="center"/>
                </w:tcPr>
                <w:p w:rsidR="00D5408E" w:rsidRDefault="00D5408E" w:rsidP="00D5408E"/>
              </w:tc>
              <w:tc>
                <w:tcPr>
                  <w:tcW w:w="2551" w:type="dxa"/>
                  <w:vAlign w:val="center"/>
                </w:tcPr>
                <w:p w:rsidR="00D5408E" w:rsidRDefault="00D5408E" w:rsidP="00D5408E">
                  <w:pPr>
                    <w:pStyle w:val="Sansinterligne"/>
                    <w:jc w:val="center"/>
                  </w:pPr>
                  <w:r w:rsidRPr="715FD8B1">
                    <w:t>Agent inapte : éventuel placement en CLM/CLD</w:t>
                  </w:r>
                </w:p>
              </w:tc>
              <w:tc>
                <w:tcPr>
                  <w:tcW w:w="5360" w:type="dxa"/>
                  <w:gridSpan w:val="4"/>
                  <w:vAlign w:val="center"/>
                </w:tcPr>
                <w:p w:rsidR="00D5408E" w:rsidRDefault="00D5408E" w:rsidP="00D5408E">
                  <w:pPr>
                    <w:pStyle w:val="Sansinterligne"/>
                    <w:jc w:val="center"/>
                  </w:pPr>
                  <w:r w:rsidRPr="715FD8B1">
                    <w:t>Agent inapte avant la fin du CLM/CLD : le congé continue de courir</w:t>
                  </w:r>
                </w:p>
              </w:tc>
            </w:tr>
            <w:tr w:rsidR="00D5408E" w:rsidTr="00F35B19">
              <w:tc>
                <w:tcPr>
                  <w:tcW w:w="1212" w:type="dxa"/>
                  <w:vMerge/>
                  <w:shd w:val="clear" w:color="auto" w:fill="2A9DA4"/>
                  <w:vAlign w:val="center"/>
                </w:tcPr>
                <w:p w:rsidR="00D5408E" w:rsidRDefault="00D5408E" w:rsidP="00D5408E"/>
              </w:tc>
              <w:tc>
                <w:tcPr>
                  <w:tcW w:w="7911" w:type="dxa"/>
                  <w:gridSpan w:val="5"/>
                  <w:vAlign w:val="center"/>
                </w:tcPr>
                <w:p w:rsidR="00D5408E" w:rsidRDefault="00D5408E" w:rsidP="00D5408E">
                  <w:pPr>
                    <w:pStyle w:val="Sansinterligne"/>
                  </w:pPr>
                  <w:r w:rsidRPr="715FD8B1">
                    <w:t>Agent inapte à ses fonctions à l’issue du CMO, CLM ou CLD :</w:t>
                  </w:r>
                </w:p>
                <w:p w:rsidR="00D5408E" w:rsidRPr="009D3773" w:rsidRDefault="00D5408E" w:rsidP="00D5408E">
                  <w:pPr>
                    <w:pStyle w:val="Sansinterligne"/>
                    <w:numPr>
                      <w:ilvl w:val="0"/>
                      <w:numId w:val="13"/>
                    </w:numPr>
                  </w:pPr>
                  <w:r w:rsidRPr="715FD8B1">
                    <w:t>reclassement,</w:t>
                  </w:r>
                </w:p>
                <w:p w:rsidR="00D5408E" w:rsidRDefault="007E46E0" w:rsidP="00D5408E">
                  <w:pPr>
                    <w:pStyle w:val="Sansinterligne"/>
                    <w:numPr>
                      <w:ilvl w:val="0"/>
                      <w:numId w:val="12"/>
                    </w:numPr>
                  </w:pPr>
                  <w:r w:rsidRPr="00315942">
                    <w:t xml:space="preserve">si reclassement impossible : CMO/CLM </w:t>
                  </w:r>
                  <w:r w:rsidRPr="00B021D1">
                    <w:rPr>
                      <w:rFonts w:asciiTheme="minorHAnsi" w:hAnsiTheme="minorHAnsi"/>
                      <w:sz w:val="20"/>
                      <w:szCs w:val="20"/>
                    </w:rPr>
                    <w:sym w:font="Wingdings" w:char="F0E0"/>
                  </w:r>
                  <w:r w:rsidRPr="00315942">
                    <w:t xml:space="preserve"> retraite pour invalidité ; CLD </w:t>
                  </w:r>
                  <w:r w:rsidRPr="00B021D1">
                    <w:rPr>
                      <w:rFonts w:asciiTheme="minorHAnsi" w:hAnsiTheme="minorHAnsi"/>
                      <w:sz w:val="20"/>
                      <w:szCs w:val="20"/>
                    </w:rPr>
                    <w:sym w:font="Wingdings" w:char="F0E0"/>
                  </w:r>
                  <w:r w:rsidRPr="00315942">
                    <w:t xml:space="preserve"> disponibilité ou/et retraite pour invalidité</w:t>
                  </w:r>
                </w:p>
              </w:tc>
            </w:tr>
            <w:tr w:rsidR="00D5408E" w:rsidTr="009A760D">
              <w:tc>
                <w:tcPr>
                  <w:tcW w:w="1212" w:type="dxa"/>
                  <w:shd w:val="clear" w:color="auto" w:fill="2A9DA4"/>
                  <w:vAlign w:val="center"/>
                </w:tcPr>
                <w:p w:rsidR="00D5408E" w:rsidRPr="00B80E23" w:rsidRDefault="00D5408E" w:rsidP="00D5408E">
                  <w:pPr>
                    <w:pStyle w:val="Sansinterligne"/>
                    <w:jc w:val="center"/>
                    <w:rPr>
                      <w:b/>
                    </w:rPr>
                  </w:pPr>
                  <w:r w:rsidRPr="00B80E23">
                    <w:rPr>
                      <w:b/>
                      <w:color w:val="FFFFFF" w:themeColor="background1"/>
                    </w:rPr>
                    <w:t>Maintien éventuel de salaire</w:t>
                  </w:r>
                </w:p>
              </w:tc>
              <w:tc>
                <w:tcPr>
                  <w:tcW w:w="2637" w:type="dxa"/>
                  <w:gridSpan w:val="2"/>
                  <w:vAlign w:val="center"/>
                </w:tcPr>
                <w:p w:rsidR="00D5408E" w:rsidRDefault="007E46E0" w:rsidP="00D5408E">
                  <w:pPr>
                    <w:pStyle w:val="Sansinterligne"/>
                    <w:jc w:val="center"/>
                  </w:pPr>
                  <w:r w:rsidRPr="00315942">
                    <w:t xml:space="preserve">Au-delà du délai de 1 an, </w:t>
                  </w:r>
                  <w:r>
                    <w:br/>
                  </w:r>
                  <w:r w:rsidRPr="00315942">
                    <w:t>le traitement est maintenu jusqu’à ce que l’agent soit apte au service ou jusqu’à sa mise à la retraite</w:t>
                  </w:r>
                  <w:r w:rsidR="00D5408E" w:rsidRPr="715FD8B1">
                    <w:t>.</w:t>
                  </w:r>
                </w:p>
              </w:tc>
              <w:tc>
                <w:tcPr>
                  <w:tcW w:w="2637" w:type="dxa"/>
                  <w:gridSpan w:val="2"/>
                  <w:vAlign w:val="center"/>
                </w:tcPr>
                <w:p w:rsidR="00D5408E" w:rsidRDefault="007E46E0" w:rsidP="00D5408E">
                  <w:pPr>
                    <w:pStyle w:val="Sansinterligne"/>
                    <w:jc w:val="center"/>
                  </w:pPr>
                  <w:r w:rsidRPr="00315942">
                    <w:t>Au-delà du délai de 3 ans, le traitement est maintenu jusqu’à ce que l’agent soit apte au service ou jusqu’à sa mise à la retraite</w:t>
                  </w:r>
                </w:p>
              </w:tc>
              <w:tc>
                <w:tcPr>
                  <w:tcW w:w="2637" w:type="dxa"/>
                  <w:vAlign w:val="center"/>
                </w:tcPr>
                <w:p w:rsidR="00D5408E" w:rsidRDefault="007E46E0" w:rsidP="00D5408E">
                  <w:pPr>
                    <w:pStyle w:val="Sansinterligne"/>
                    <w:jc w:val="center"/>
                  </w:pPr>
                  <w:r w:rsidRPr="00315942">
                    <w:t>Au-delà des 8 ans, le demi-traitement est maintenu dans l’attente des différents avis pour le placement en disponibilité ou en retraite pour invalidité</w:t>
                  </w:r>
                </w:p>
              </w:tc>
            </w:tr>
          </w:tbl>
          <w:p w:rsidR="00D5408E" w:rsidRDefault="00D5408E" w:rsidP="00D5408E"/>
          <w:p w:rsidR="00D5408E" w:rsidRDefault="00D5408E" w:rsidP="00D5408E"/>
          <w:p w:rsidR="00D5408E" w:rsidRDefault="00D5408E" w:rsidP="00D5408E"/>
          <w:p w:rsidR="00D5408E" w:rsidRDefault="00D5408E" w:rsidP="00D5408E"/>
          <w:p w:rsidR="00D5408E" w:rsidRDefault="00D5408E" w:rsidP="00D5408E"/>
          <w:p w:rsidR="007E46E0" w:rsidRDefault="007E46E0" w:rsidP="00D5408E"/>
          <w:p w:rsidR="007E46E0" w:rsidRDefault="007E46E0" w:rsidP="00D5408E"/>
          <w:p w:rsidR="007E46E0" w:rsidRDefault="007E46E0" w:rsidP="00D5408E"/>
          <w:p w:rsidR="007E46E0" w:rsidRDefault="007E46E0" w:rsidP="00D5408E"/>
          <w:p w:rsidR="007E46E0" w:rsidRDefault="007E46E0" w:rsidP="00D5408E"/>
          <w:p w:rsidR="007E46E0" w:rsidRDefault="007E46E0" w:rsidP="00D5408E"/>
          <w:p w:rsidR="007E46E0" w:rsidRDefault="007E46E0" w:rsidP="00D5408E"/>
          <w:p w:rsidR="007E46E0" w:rsidRDefault="00234102" w:rsidP="00D5408E">
            <w:r w:rsidRPr="00362463">
              <w:rPr>
                <w:i/>
                <w:sz w:val="16"/>
                <w:szCs w:val="16"/>
              </w:rPr>
              <w:t>Source : Guide relatif à la protection sociale des fonctionnaires hospitaliers contre les risques maladies et accident de service</w:t>
            </w:r>
          </w:p>
          <w:p w:rsidR="007E46E0" w:rsidRDefault="007E46E0" w:rsidP="007E46E0">
            <w:pPr>
              <w:pStyle w:val="Titre2"/>
              <w:framePr w:wrap="auto" w:vAnchor="margin" w:yAlign="inline"/>
              <w:outlineLvl w:val="1"/>
            </w:pPr>
            <w:r w:rsidRPr="00315942">
              <w:t>Modalités de rémunération de l’agent selon la nature de l’arrêt maladie pour les agents titulaires :</w:t>
            </w:r>
            <w:r>
              <w:t> </w:t>
            </w:r>
          </w:p>
          <w:p w:rsidR="007E46E0" w:rsidRDefault="007E46E0" w:rsidP="007E46E0"/>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75"/>
              <w:gridCol w:w="1701"/>
              <w:gridCol w:w="1843"/>
              <w:gridCol w:w="1701"/>
              <w:gridCol w:w="2803"/>
            </w:tblGrid>
            <w:tr w:rsidR="007E46E0" w:rsidTr="00F35B19">
              <w:tc>
                <w:tcPr>
                  <w:tcW w:w="1075"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CMO</w:t>
                  </w:r>
                </w:p>
              </w:tc>
              <w:tc>
                <w:tcPr>
                  <w:tcW w:w="1701"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Plein traitement par l’employeur</w:t>
                  </w:r>
                </w:p>
              </w:tc>
              <w:tc>
                <w:tcPr>
                  <w:tcW w:w="1843" w:type="dxa"/>
                  <w:shd w:val="clear" w:color="auto" w:fill="2A9DA4"/>
                  <w:vAlign w:val="center"/>
                </w:tcPr>
                <w:p w:rsidR="007E46E0" w:rsidRDefault="007E46E0" w:rsidP="007E46E0">
                  <w:pPr>
                    <w:jc w:val="center"/>
                  </w:pPr>
                  <w:r>
                    <w:rPr>
                      <w:b/>
                      <w:color w:val="FFFFFF" w:themeColor="background1"/>
                    </w:rPr>
                    <w:t>Demi-</w:t>
                  </w:r>
                  <w:r w:rsidRPr="000A2113">
                    <w:rPr>
                      <w:b/>
                      <w:color w:val="FFFFFF" w:themeColor="background1"/>
                    </w:rPr>
                    <w:t>traitement par l’employeur</w:t>
                  </w:r>
                </w:p>
              </w:tc>
              <w:tc>
                <w:tcPr>
                  <w:tcW w:w="1701"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CGOS</w:t>
                  </w:r>
                </w:p>
              </w:tc>
              <w:tc>
                <w:tcPr>
                  <w:tcW w:w="2803"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MNH (en fonction de la formule d’adhésion)</w:t>
                  </w:r>
                </w:p>
              </w:tc>
            </w:tr>
            <w:tr w:rsidR="007E46E0" w:rsidTr="00F35B19">
              <w:tc>
                <w:tcPr>
                  <w:tcW w:w="1075" w:type="dxa"/>
                  <w:shd w:val="clear" w:color="auto" w:fill="BFBFBF" w:themeFill="background1" w:themeFillShade="BF"/>
                  <w:vAlign w:val="center"/>
                </w:tcPr>
                <w:p w:rsidR="007E46E0" w:rsidRPr="00984048" w:rsidRDefault="007E46E0" w:rsidP="007E46E0">
                  <w:pPr>
                    <w:pStyle w:val="Sansinterligne"/>
                    <w:jc w:val="center"/>
                  </w:pPr>
                  <w:r w:rsidRPr="00984048">
                    <w:t>3 mois</w:t>
                  </w:r>
                </w:p>
              </w:tc>
              <w:tc>
                <w:tcPr>
                  <w:tcW w:w="1701" w:type="dxa"/>
                  <w:shd w:val="clear" w:color="auto" w:fill="BFBFBF" w:themeFill="background1" w:themeFillShade="BF"/>
                  <w:vAlign w:val="center"/>
                </w:tcPr>
                <w:p w:rsidR="007E46E0" w:rsidRPr="00984048" w:rsidRDefault="007E46E0" w:rsidP="007E46E0">
                  <w:pPr>
                    <w:pStyle w:val="Sansinterligne"/>
                    <w:jc w:val="center"/>
                  </w:pPr>
                  <w:r w:rsidRPr="00984048">
                    <w:t>X</w:t>
                  </w:r>
                </w:p>
              </w:tc>
              <w:tc>
                <w:tcPr>
                  <w:tcW w:w="1843" w:type="dxa"/>
                  <w:shd w:val="clear" w:color="auto" w:fill="BFBFBF" w:themeFill="background1" w:themeFillShade="BF"/>
                  <w:vAlign w:val="center"/>
                </w:tcPr>
                <w:p w:rsidR="007E46E0" w:rsidRPr="00984048" w:rsidRDefault="007E46E0" w:rsidP="007E46E0">
                  <w:pPr>
                    <w:pStyle w:val="Sansinterligne"/>
                    <w:jc w:val="center"/>
                  </w:pPr>
                </w:p>
              </w:tc>
              <w:tc>
                <w:tcPr>
                  <w:tcW w:w="1701" w:type="dxa"/>
                  <w:shd w:val="clear" w:color="auto" w:fill="BFBFBF" w:themeFill="background1" w:themeFillShade="BF"/>
                  <w:vAlign w:val="center"/>
                </w:tcPr>
                <w:p w:rsidR="007E46E0" w:rsidRPr="00984048" w:rsidRDefault="007E46E0" w:rsidP="007E46E0">
                  <w:pPr>
                    <w:pStyle w:val="Sansinterligne"/>
                    <w:jc w:val="center"/>
                  </w:pPr>
                </w:p>
              </w:tc>
              <w:tc>
                <w:tcPr>
                  <w:tcW w:w="2803" w:type="dxa"/>
                  <w:shd w:val="clear" w:color="auto" w:fill="BFBFBF" w:themeFill="background1" w:themeFillShade="BF"/>
                  <w:vAlign w:val="center"/>
                </w:tcPr>
                <w:p w:rsidR="007E46E0" w:rsidRPr="00984048" w:rsidRDefault="007E46E0" w:rsidP="007E46E0">
                  <w:pPr>
                    <w:pStyle w:val="Sansinterligne"/>
                    <w:jc w:val="center"/>
                  </w:pPr>
                </w:p>
              </w:tc>
            </w:tr>
            <w:tr w:rsidR="007E46E0" w:rsidTr="00F35B19">
              <w:tc>
                <w:tcPr>
                  <w:tcW w:w="1075" w:type="dxa"/>
                  <w:shd w:val="clear" w:color="auto" w:fill="F2F2F2" w:themeFill="background1" w:themeFillShade="F2"/>
                  <w:vAlign w:val="center"/>
                </w:tcPr>
                <w:p w:rsidR="007E46E0" w:rsidRPr="00984048" w:rsidRDefault="007E46E0" w:rsidP="007E46E0">
                  <w:pPr>
                    <w:pStyle w:val="Sansinterligne"/>
                    <w:jc w:val="center"/>
                  </w:pPr>
                  <w:r w:rsidRPr="00984048">
                    <w:t>9 mois</w:t>
                  </w:r>
                </w:p>
              </w:tc>
              <w:tc>
                <w:tcPr>
                  <w:tcW w:w="1701" w:type="dxa"/>
                  <w:shd w:val="clear" w:color="auto" w:fill="F2F2F2" w:themeFill="background1" w:themeFillShade="F2"/>
                  <w:vAlign w:val="center"/>
                </w:tcPr>
                <w:p w:rsidR="007E46E0" w:rsidRPr="00984048" w:rsidRDefault="007E46E0" w:rsidP="007E46E0">
                  <w:pPr>
                    <w:pStyle w:val="Sansinterligne"/>
                    <w:jc w:val="center"/>
                  </w:pPr>
                </w:p>
              </w:tc>
              <w:tc>
                <w:tcPr>
                  <w:tcW w:w="1843" w:type="dxa"/>
                  <w:shd w:val="clear" w:color="auto" w:fill="F2F2F2" w:themeFill="background1" w:themeFillShade="F2"/>
                  <w:vAlign w:val="center"/>
                </w:tcPr>
                <w:p w:rsidR="007E46E0" w:rsidRPr="00984048" w:rsidRDefault="007E46E0" w:rsidP="007E46E0">
                  <w:pPr>
                    <w:pStyle w:val="Sansinterligne"/>
                    <w:jc w:val="center"/>
                  </w:pPr>
                  <w:r w:rsidRPr="00984048">
                    <w:t>X</w:t>
                  </w:r>
                </w:p>
              </w:tc>
              <w:tc>
                <w:tcPr>
                  <w:tcW w:w="1701" w:type="dxa"/>
                  <w:shd w:val="clear" w:color="auto" w:fill="F2F2F2" w:themeFill="background1" w:themeFillShade="F2"/>
                  <w:vAlign w:val="center"/>
                </w:tcPr>
                <w:p w:rsidR="007E46E0" w:rsidRPr="00984048" w:rsidRDefault="007E46E0" w:rsidP="007E46E0">
                  <w:pPr>
                    <w:pStyle w:val="Sansinterligne"/>
                    <w:jc w:val="center"/>
                  </w:pPr>
                  <w:r w:rsidRPr="00984048">
                    <w:t>Pendant 5 mois</w:t>
                  </w:r>
                </w:p>
              </w:tc>
              <w:tc>
                <w:tcPr>
                  <w:tcW w:w="2803" w:type="dxa"/>
                  <w:shd w:val="clear" w:color="auto" w:fill="F2F2F2" w:themeFill="background1" w:themeFillShade="F2"/>
                  <w:vAlign w:val="center"/>
                </w:tcPr>
                <w:p w:rsidR="007E46E0" w:rsidRPr="00984048" w:rsidRDefault="007E46E0" w:rsidP="007E46E0">
                  <w:pPr>
                    <w:pStyle w:val="Sansinterligne"/>
                    <w:jc w:val="center"/>
                  </w:pPr>
                  <w:r w:rsidRPr="00984048">
                    <w:t>Pendant les 4 mois suivants</w:t>
                  </w:r>
                </w:p>
              </w:tc>
            </w:tr>
            <w:tr w:rsidR="007E46E0" w:rsidTr="00F35B19">
              <w:tc>
                <w:tcPr>
                  <w:tcW w:w="1075"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C</w:t>
                  </w:r>
                  <w:r>
                    <w:rPr>
                      <w:b/>
                      <w:color w:val="FFFFFF" w:themeColor="background1"/>
                    </w:rPr>
                    <w:t>LM</w:t>
                  </w:r>
                </w:p>
              </w:tc>
              <w:tc>
                <w:tcPr>
                  <w:tcW w:w="1701"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Plein traitement par l’employeur</w:t>
                  </w:r>
                </w:p>
              </w:tc>
              <w:tc>
                <w:tcPr>
                  <w:tcW w:w="1843" w:type="dxa"/>
                  <w:shd w:val="clear" w:color="auto" w:fill="2A9DA4"/>
                  <w:vAlign w:val="center"/>
                </w:tcPr>
                <w:p w:rsidR="007E46E0" w:rsidRDefault="007E46E0" w:rsidP="007E46E0">
                  <w:pPr>
                    <w:jc w:val="center"/>
                  </w:pPr>
                  <w:r>
                    <w:rPr>
                      <w:b/>
                      <w:color w:val="FFFFFF" w:themeColor="background1"/>
                    </w:rPr>
                    <w:t>Demi-</w:t>
                  </w:r>
                  <w:r w:rsidRPr="000A2113">
                    <w:rPr>
                      <w:b/>
                      <w:color w:val="FFFFFF" w:themeColor="background1"/>
                    </w:rPr>
                    <w:t>traitement par l’employeur</w:t>
                  </w:r>
                </w:p>
              </w:tc>
              <w:tc>
                <w:tcPr>
                  <w:tcW w:w="1701"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CGOS</w:t>
                  </w:r>
                </w:p>
              </w:tc>
              <w:tc>
                <w:tcPr>
                  <w:tcW w:w="2803"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MNH</w:t>
                  </w:r>
                </w:p>
              </w:tc>
            </w:tr>
            <w:tr w:rsidR="007E46E0" w:rsidTr="00F35B19">
              <w:tc>
                <w:tcPr>
                  <w:tcW w:w="1075" w:type="dxa"/>
                  <w:shd w:val="clear" w:color="auto" w:fill="BFBFBF" w:themeFill="background1" w:themeFillShade="BF"/>
                  <w:vAlign w:val="center"/>
                </w:tcPr>
                <w:p w:rsidR="007E46E0" w:rsidRPr="00984048" w:rsidRDefault="007E46E0" w:rsidP="007E46E0">
                  <w:pPr>
                    <w:pStyle w:val="Sansinterligne"/>
                    <w:jc w:val="center"/>
                  </w:pPr>
                  <w:r w:rsidRPr="00984048">
                    <w:t>Année 1</w:t>
                  </w:r>
                </w:p>
              </w:tc>
              <w:tc>
                <w:tcPr>
                  <w:tcW w:w="1701" w:type="dxa"/>
                  <w:shd w:val="clear" w:color="auto" w:fill="BFBFBF" w:themeFill="background1" w:themeFillShade="BF"/>
                  <w:vAlign w:val="center"/>
                </w:tcPr>
                <w:p w:rsidR="007E46E0" w:rsidRPr="00984048" w:rsidRDefault="007E46E0" w:rsidP="007E46E0">
                  <w:pPr>
                    <w:pStyle w:val="Sansinterligne"/>
                    <w:jc w:val="center"/>
                  </w:pPr>
                  <w:r w:rsidRPr="00984048">
                    <w:t>X</w:t>
                  </w:r>
                </w:p>
              </w:tc>
              <w:tc>
                <w:tcPr>
                  <w:tcW w:w="1843" w:type="dxa"/>
                  <w:shd w:val="clear" w:color="auto" w:fill="BFBFBF" w:themeFill="background1" w:themeFillShade="BF"/>
                  <w:vAlign w:val="center"/>
                </w:tcPr>
                <w:p w:rsidR="007E46E0" w:rsidRPr="00984048" w:rsidRDefault="007E46E0" w:rsidP="007E46E0">
                  <w:pPr>
                    <w:pStyle w:val="Sansinterligne"/>
                    <w:jc w:val="center"/>
                  </w:pPr>
                </w:p>
              </w:tc>
              <w:tc>
                <w:tcPr>
                  <w:tcW w:w="1701" w:type="dxa"/>
                  <w:shd w:val="clear" w:color="auto" w:fill="BFBFBF" w:themeFill="background1" w:themeFillShade="BF"/>
                  <w:vAlign w:val="center"/>
                </w:tcPr>
                <w:p w:rsidR="007E46E0" w:rsidRPr="00984048" w:rsidRDefault="007E46E0" w:rsidP="007E46E0">
                  <w:pPr>
                    <w:pStyle w:val="Sansinterligne"/>
                    <w:jc w:val="center"/>
                  </w:pPr>
                </w:p>
              </w:tc>
              <w:tc>
                <w:tcPr>
                  <w:tcW w:w="2803" w:type="dxa"/>
                  <w:shd w:val="clear" w:color="auto" w:fill="BFBFBF" w:themeFill="background1" w:themeFillShade="BF"/>
                  <w:vAlign w:val="center"/>
                </w:tcPr>
                <w:p w:rsidR="007E46E0" w:rsidRPr="00984048" w:rsidRDefault="007E46E0" w:rsidP="007E46E0">
                  <w:pPr>
                    <w:pStyle w:val="Sansinterligne"/>
                    <w:jc w:val="center"/>
                  </w:pPr>
                </w:p>
              </w:tc>
            </w:tr>
            <w:tr w:rsidR="007E46E0" w:rsidTr="00F35B19">
              <w:tc>
                <w:tcPr>
                  <w:tcW w:w="1075" w:type="dxa"/>
                  <w:shd w:val="clear" w:color="auto" w:fill="F2F2F2" w:themeFill="background1" w:themeFillShade="F2"/>
                  <w:vAlign w:val="center"/>
                </w:tcPr>
                <w:p w:rsidR="007E46E0" w:rsidRPr="00984048" w:rsidRDefault="007E46E0" w:rsidP="007E46E0">
                  <w:pPr>
                    <w:pStyle w:val="Sansinterligne"/>
                    <w:jc w:val="center"/>
                  </w:pPr>
                  <w:r w:rsidRPr="00984048">
                    <w:t>Année 2</w:t>
                  </w:r>
                </w:p>
              </w:tc>
              <w:tc>
                <w:tcPr>
                  <w:tcW w:w="1701" w:type="dxa"/>
                  <w:shd w:val="clear" w:color="auto" w:fill="F2F2F2" w:themeFill="background1" w:themeFillShade="F2"/>
                  <w:vAlign w:val="center"/>
                </w:tcPr>
                <w:p w:rsidR="007E46E0" w:rsidRPr="00984048" w:rsidRDefault="007E46E0" w:rsidP="007E46E0">
                  <w:pPr>
                    <w:pStyle w:val="Sansinterligne"/>
                    <w:jc w:val="center"/>
                  </w:pPr>
                </w:p>
              </w:tc>
              <w:tc>
                <w:tcPr>
                  <w:tcW w:w="1843" w:type="dxa"/>
                  <w:shd w:val="clear" w:color="auto" w:fill="F2F2F2" w:themeFill="background1" w:themeFillShade="F2"/>
                  <w:vAlign w:val="center"/>
                </w:tcPr>
                <w:p w:rsidR="007E46E0" w:rsidRPr="00984048" w:rsidRDefault="007E46E0" w:rsidP="007E46E0">
                  <w:pPr>
                    <w:pStyle w:val="Sansinterligne"/>
                    <w:jc w:val="center"/>
                  </w:pPr>
                  <w:r w:rsidRPr="00984048">
                    <w:t>X</w:t>
                  </w:r>
                </w:p>
              </w:tc>
              <w:tc>
                <w:tcPr>
                  <w:tcW w:w="1701" w:type="dxa"/>
                  <w:shd w:val="clear" w:color="auto" w:fill="F2F2F2" w:themeFill="background1" w:themeFillShade="F2"/>
                  <w:vAlign w:val="center"/>
                </w:tcPr>
                <w:p w:rsidR="007E46E0" w:rsidRPr="00984048" w:rsidRDefault="007E46E0" w:rsidP="007E46E0">
                  <w:pPr>
                    <w:pStyle w:val="Sansinterligne"/>
                    <w:jc w:val="center"/>
                  </w:pPr>
                  <w:r w:rsidRPr="00984048">
                    <w:t>Pendant 5 mois</w:t>
                  </w:r>
                </w:p>
              </w:tc>
              <w:tc>
                <w:tcPr>
                  <w:tcW w:w="2803" w:type="dxa"/>
                  <w:shd w:val="clear" w:color="auto" w:fill="F2F2F2" w:themeFill="background1" w:themeFillShade="F2"/>
                  <w:vAlign w:val="center"/>
                </w:tcPr>
                <w:p w:rsidR="007E46E0" w:rsidRPr="00984048" w:rsidRDefault="007E46E0" w:rsidP="007E46E0">
                  <w:pPr>
                    <w:pStyle w:val="Sansinterligne"/>
                    <w:jc w:val="center"/>
                  </w:pPr>
                  <w:r w:rsidRPr="00984048">
                    <w:t>Pendant les 7 mois suivants</w:t>
                  </w:r>
                </w:p>
              </w:tc>
            </w:tr>
            <w:tr w:rsidR="007E46E0" w:rsidTr="00F35B19">
              <w:tc>
                <w:tcPr>
                  <w:tcW w:w="1075" w:type="dxa"/>
                  <w:shd w:val="clear" w:color="auto" w:fill="BFBFBF" w:themeFill="background1" w:themeFillShade="BF"/>
                  <w:vAlign w:val="center"/>
                </w:tcPr>
                <w:p w:rsidR="007E46E0" w:rsidRPr="00984048" w:rsidRDefault="007E46E0" w:rsidP="007E46E0">
                  <w:pPr>
                    <w:pStyle w:val="Sansinterligne"/>
                    <w:jc w:val="center"/>
                  </w:pPr>
                  <w:r w:rsidRPr="00984048">
                    <w:t>Année 3</w:t>
                  </w:r>
                </w:p>
              </w:tc>
              <w:tc>
                <w:tcPr>
                  <w:tcW w:w="1701" w:type="dxa"/>
                  <w:shd w:val="clear" w:color="auto" w:fill="BFBFBF" w:themeFill="background1" w:themeFillShade="BF"/>
                  <w:vAlign w:val="center"/>
                </w:tcPr>
                <w:p w:rsidR="007E46E0" w:rsidRPr="00984048" w:rsidRDefault="007E46E0" w:rsidP="007E46E0">
                  <w:pPr>
                    <w:pStyle w:val="Sansinterligne"/>
                    <w:jc w:val="center"/>
                  </w:pPr>
                </w:p>
              </w:tc>
              <w:tc>
                <w:tcPr>
                  <w:tcW w:w="1843" w:type="dxa"/>
                  <w:shd w:val="clear" w:color="auto" w:fill="BFBFBF" w:themeFill="background1" w:themeFillShade="BF"/>
                  <w:vAlign w:val="center"/>
                </w:tcPr>
                <w:p w:rsidR="007E46E0" w:rsidRPr="00984048" w:rsidRDefault="007E46E0" w:rsidP="007E46E0">
                  <w:pPr>
                    <w:pStyle w:val="Sansinterligne"/>
                    <w:jc w:val="center"/>
                  </w:pPr>
                  <w:r w:rsidRPr="00984048">
                    <w:t>X</w:t>
                  </w:r>
                </w:p>
              </w:tc>
              <w:tc>
                <w:tcPr>
                  <w:tcW w:w="1701" w:type="dxa"/>
                  <w:shd w:val="clear" w:color="auto" w:fill="BFBFBF" w:themeFill="background1" w:themeFillShade="BF"/>
                  <w:vAlign w:val="center"/>
                </w:tcPr>
                <w:p w:rsidR="007E46E0" w:rsidRPr="00984048" w:rsidRDefault="007E46E0" w:rsidP="007E46E0">
                  <w:pPr>
                    <w:pStyle w:val="Sansinterligne"/>
                    <w:jc w:val="center"/>
                  </w:pPr>
                  <w:r w:rsidRPr="00984048">
                    <w:t>Pendant 5 mois</w:t>
                  </w:r>
                </w:p>
              </w:tc>
              <w:tc>
                <w:tcPr>
                  <w:tcW w:w="2803" w:type="dxa"/>
                  <w:shd w:val="clear" w:color="auto" w:fill="BFBFBF" w:themeFill="background1" w:themeFillShade="BF"/>
                  <w:vAlign w:val="center"/>
                </w:tcPr>
                <w:p w:rsidR="007E46E0" w:rsidRPr="00984048" w:rsidRDefault="007E46E0" w:rsidP="007E46E0">
                  <w:pPr>
                    <w:pStyle w:val="Sansinterligne"/>
                    <w:jc w:val="center"/>
                  </w:pPr>
                  <w:r w:rsidRPr="00984048">
                    <w:t>Pendant les 7 mois suivants</w:t>
                  </w:r>
                </w:p>
              </w:tc>
            </w:tr>
            <w:tr w:rsidR="007E46E0" w:rsidTr="00F35B19">
              <w:tc>
                <w:tcPr>
                  <w:tcW w:w="1075"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C</w:t>
                  </w:r>
                  <w:r>
                    <w:rPr>
                      <w:b/>
                      <w:color w:val="FFFFFF" w:themeColor="background1"/>
                    </w:rPr>
                    <w:t>LM</w:t>
                  </w:r>
                </w:p>
              </w:tc>
              <w:tc>
                <w:tcPr>
                  <w:tcW w:w="1701"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Plein traitement par l’employeur</w:t>
                  </w:r>
                </w:p>
              </w:tc>
              <w:tc>
                <w:tcPr>
                  <w:tcW w:w="1843" w:type="dxa"/>
                  <w:shd w:val="clear" w:color="auto" w:fill="2A9DA4"/>
                  <w:vAlign w:val="center"/>
                </w:tcPr>
                <w:p w:rsidR="007E46E0" w:rsidRDefault="007E46E0" w:rsidP="007E46E0">
                  <w:pPr>
                    <w:jc w:val="center"/>
                  </w:pPr>
                  <w:r>
                    <w:rPr>
                      <w:b/>
                      <w:color w:val="FFFFFF" w:themeColor="background1"/>
                    </w:rPr>
                    <w:t>Demi-</w:t>
                  </w:r>
                  <w:r w:rsidRPr="000A2113">
                    <w:rPr>
                      <w:b/>
                      <w:color w:val="FFFFFF" w:themeColor="background1"/>
                    </w:rPr>
                    <w:t>traitement par l’employeur</w:t>
                  </w:r>
                </w:p>
              </w:tc>
              <w:tc>
                <w:tcPr>
                  <w:tcW w:w="1701"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CGOS</w:t>
                  </w:r>
                </w:p>
              </w:tc>
              <w:tc>
                <w:tcPr>
                  <w:tcW w:w="2803" w:type="dxa"/>
                  <w:shd w:val="clear" w:color="auto" w:fill="2A9DA4"/>
                  <w:vAlign w:val="center"/>
                </w:tcPr>
                <w:p w:rsidR="007E46E0" w:rsidRPr="000A2113" w:rsidRDefault="007E46E0" w:rsidP="007E46E0">
                  <w:pPr>
                    <w:pStyle w:val="Sansinterligne"/>
                    <w:jc w:val="center"/>
                    <w:rPr>
                      <w:b/>
                    </w:rPr>
                  </w:pPr>
                  <w:r w:rsidRPr="000A2113">
                    <w:rPr>
                      <w:b/>
                      <w:color w:val="FFFFFF" w:themeColor="background1"/>
                    </w:rPr>
                    <w:t>MNH</w:t>
                  </w:r>
                </w:p>
              </w:tc>
            </w:tr>
            <w:tr w:rsidR="007E46E0" w:rsidTr="00F35B19">
              <w:tc>
                <w:tcPr>
                  <w:tcW w:w="1075" w:type="dxa"/>
                  <w:shd w:val="clear" w:color="auto" w:fill="BFBFBF" w:themeFill="background1" w:themeFillShade="BF"/>
                  <w:vAlign w:val="center"/>
                </w:tcPr>
                <w:p w:rsidR="007E46E0" w:rsidRPr="00984048" w:rsidRDefault="007E46E0" w:rsidP="007E46E0">
                  <w:pPr>
                    <w:pStyle w:val="Sansinterligne"/>
                    <w:jc w:val="center"/>
                  </w:pPr>
                  <w:r w:rsidRPr="00984048">
                    <w:t>Année 1</w:t>
                  </w:r>
                </w:p>
              </w:tc>
              <w:tc>
                <w:tcPr>
                  <w:tcW w:w="1701" w:type="dxa"/>
                  <w:shd w:val="clear" w:color="auto" w:fill="BFBFBF" w:themeFill="background1" w:themeFillShade="BF"/>
                  <w:vAlign w:val="center"/>
                </w:tcPr>
                <w:p w:rsidR="007E46E0" w:rsidRPr="00984048" w:rsidRDefault="007E46E0" w:rsidP="007E46E0">
                  <w:pPr>
                    <w:pStyle w:val="Sansinterligne"/>
                    <w:jc w:val="center"/>
                  </w:pPr>
                  <w:r w:rsidRPr="00984048">
                    <w:t>X</w:t>
                  </w:r>
                </w:p>
              </w:tc>
              <w:tc>
                <w:tcPr>
                  <w:tcW w:w="1843" w:type="dxa"/>
                  <w:shd w:val="clear" w:color="auto" w:fill="BFBFBF" w:themeFill="background1" w:themeFillShade="BF"/>
                  <w:vAlign w:val="center"/>
                </w:tcPr>
                <w:p w:rsidR="007E46E0" w:rsidRPr="00984048" w:rsidRDefault="007E46E0" w:rsidP="007E46E0">
                  <w:pPr>
                    <w:pStyle w:val="Sansinterligne"/>
                    <w:jc w:val="center"/>
                  </w:pPr>
                </w:p>
              </w:tc>
              <w:tc>
                <w:tcPr>
                  <w:tcW w:w="1701" w:type="dxa"/>
                  <w:shd w:val="clear" w:color="auto" w:fill="BFBFBF" w:themeFill="background1" w:themeFillShade="BF"/>
                  <w:vAlign w:val="center"/>
                </w:tcPr>
                <w:p w:rsidR="007E46E0" w:rsidRPr="00984048" w:rsidRDefault="007E46E0" w:rsidP="007E46E0">
                  <w:pPr>
                    <w:pStyle w:val="Sansinterligne"/>
                    <w:jc w:val="center"/>
                  </w:pPr>
                </w:p>
              </w:tc>
              <w:tc>
                <w:tcPr>
                  <w:tcW w:w="2803" w:type="dxa"/>
                  <w:shd w:val="clear" w:color="auto" w:fill="BFBFBF" w:themeFill="background1" w:themeFillShade="BF"/>
                  <w:vAlign w:val="center"/>
                </w:tcPr>
                <w:p w:rsidR="007E46E0" w:rsidRPr="00984048" w:rsidRDefault="007E46E0" w:rsidP="007E46E0">
                  <w:pPr>
                    <w:pStyle w:val="Sansinterligne"/>
                    <w:jc w:val="center"/>
                  </w:pPr>
                </w:p>
              </w:tc>
            </w:tr>
            <w:tr w:rsidR="007E46E0" w:rsidTr="00F35B19">
              <w:tc>
                <w:tcPr>
                  <w:tcW w:w="1075" w:type="dxa"/>
                  <w:shd w:val="clear" w:color="auto" w:fill="F2F2F2" w:themeFill="background1" w:themeFillShade="F2"/>
                  <w:vAlign w:val="center"/>
                </w:tcPr>
                <w:p w:rsidR="007E46E0" w:rsidRPr="00984048" w:rsidRDefault="007E46E0" w:rsidP="007E46E0">
                  <w:pPr>
                    <w:pStyle w:val="Sansinterligne"/>
                    <w:jc w:val="center"/>
                  </w:pPr>
                  <w:r w:rsidRPr="00984048">
                    <w:t>Année 2</w:t>
                  </w:r>
                </w:p>
              </w:tc>
              <w:tc>
                <w:tcPr>
                  <w:tcW w:w="1701" w:type="dxa"/>
                  <w:shd w:val="clear" w:color="auto" w:fill="F2F2F2" w:themeFill="background1" w:themeFillShade="F2"/>
                  <w:vAlign w:val="center"/>
                </w:tcPr>
                <w:p w:rsidR="007E46E0" w:rsidRPr="00984048" w:rsidRDefault="007E46E0" w:rsidP="007E46E0">
                  <w:pPr>
                    <w:pStyle w:val="Sansinterligne"/>
                    <w:jc w:val="center"/>
                  </w:pPr>
                  <w:r w:rsidRPr="00984048">
                    <w:t>X</w:t>
                  </w:r>
                </w:p>
              </w:tc>
              <w:tc>
                <w:tcPr>
                  <w:tcW w:w="1843" w:type="dxa"/>
                  <w:shd w:val="clear" w:color="auto" w:fill="F2F2F2" w:themeFill="background1" w:themeFillShade="F2"/>
                  <w:vAlign w:val="center"/>
                </w:tcPr>
                <w:p w:rsidR="007E46E0" w:rsidRPr="00984048" w:rsidRDefault="007E46E0" w:rsidP="007E46E0">
                  <w:pPr>
                    <w:pStyle w:val="Sansinterligne"/>
                    <w:jc w:val="center"/>
                  </w:pPr>
                </w:p>
              </w:tc>
              <w:tc>
                <w:tcPr>
                  <w:tcW w:w="1701" w:type="dxa"/>
                  <w:shd w:val="clear" w:color="auto" w:fill="F2F2F2" w:themeFill="background1" w:themeFillShade="F2"/>
                  <w:vAlign w:val="center"/>
                </w:tcPr>
                <w:p w:rsidR="007E46E0" w:rsidRPr="00984048" w:rsidRDefault="007E46E0" w:rsidP="007E46E0">
                  <w:pPr>
                    <w:pStyle w:val="Sansinterligne"/>
                    <w:jc w:val="center"/>
                  </w:pPr>
                </w:p>
              </w:tc>
              <w:tc>
                <w:tcPr>
                  <w:tcW w:w="2803" w:type="dxa"/>
                  <w:shd w:val="clear" w:color="auto" w:fill="F2F2F2" w:themeFill="background1" w:themeFillShade="F2"/>
                  <w:vAlign w:val="center"/>
                </w:tcPr>
                <w:p w:rsidR="007E46E0" w:rsidRPr="00984048" w:rsidRDefault="007E46E0" w:rsidP="007E46E0">
                  <w:pPr>
                    <w:pStyle w:val="Sansinterligne"/>
                    <w:jc w:val="center"/>
                  </w:pPr>
                </w:p>
              </w:tc>
            </w:tr>
            <w:tr w:rsidR="007E46E0" w:rsidTr="00F35B19">
              <w:tc>
                <w:tcPr>
                  <w:tcW w:w="1075" w:type="dxa"/>
                  <w:shd w:val="clear" w:color="auto" w:fill="BFBFBF" w:themeFill="background1" w:themeFillShade="BF"/>
                  <w:vAlign w:val="center"/>
                </w:tcPr>
                <w:p w:rsidR="007E46E0" w:rsidRPr="00984048" w:rsidRDefault="007E46E0" w:rsidP="007E46E0">
                  <w:pPr>
                    <w:pStyle w:val="Sansinterligne"/>
                    <w:jc w:val="center"/>
                  </w:pPr>
                  <w:r w:rsidRPr="00984048">
                    <w:t>Année 3</w:t>
                  </w:r>
                </w:p>
              </w:tc>
              <w:tc>
                <w:tcPr>
                  <w:tcW w:w="1701" w:type="dxa"/>
                  <w:shd w:val="clear" w:color="auto" w:fill="BFBFBF" w:themeFill="background1" w:themeFillShade="BF"/>
                  <w:vAlign w:val="center"/>
                </w:tcPr>
                <w:p w:rsidR="007E46E0" w:rsidRPr="00984048" w:rsidRDefault="007E46E0" w:rsidP="007E46E0">
                  <w:pPr>
                    <w:pStyle w:val="Sansinterligne"/>
                    <w:jc w:val="center"/>
                  </w:pPr>
                  <w:r w:rsidRPr="00984048">
                    <w:t>X</w:t>
                  </w:r>
                </w:p>
              </w:tc>
              <w:tc>
                <w:tcPr>
                  <w:tcW w:w="1843" w:type="dxa"/>
                  <w:shd w:val="clear" w:color="auto" w:fill="BFBFBF" w:themeFill="background1" w:themeFillShade="BF"/>
                  <w:vAlign w:val="center"/>
                </w:tcPr>
                <w:p w:rsidR="007E46E0" w:rsidRPr="00984048" w:rsidRDefault="007E46E0" w:rsidP="007E46E0">
                  <w:pPr>
                    <w:pStyle w:val="Sansinterligne"/>
                    <w:jc w:val="center"/>
                  </w:pPr>
                </w:p>
              </w:tc>
              <w:tc>
                <w:tcPr>
                  <w:tcW w:w="1701" w:type="dxa"/>
                  <w:shd w:val="clear" w:color="auto" w:fill="BFBFBF" w:themeFill="background1" w:themeFillShade="BF"/>
                  <w:vAlign w:val="center"/>
                </w:tcPr>
                <w:p w:rsidR="007E46E0" w:rsidRPr="00984048" w:rsidRDefault="007E46E0" w:rsidP="007E46E0">
                  <w:pPr>
                    <w:pStyle w:val="Sansinterligne"/>
                    <w:jc w:val="center"/>
                  </w:pPr>
                </w:p>
              </w:tc>
              <w:tc>
                <w:tcPr>
                  <w:tcW w:w="2803" w:type="dxa"/>
                  <w:shd w:val="clear" w:color="auto" w:fill="BFBFBF" w:themeFill="background1" w:themeFillShade="BF"/>
                  <w:vAlign w:val="center"/>
                </w:tcPr>
                <w:p w:rsidR="007E46E0" w:rsidRPr="00984048" w:rsidRDefault="007E46E0" w:rsidP="007E46E0">
                  <w:pPr>
                    <w:pStyle w:val="Sansinterligne"/>
                    <w:jc w:val="center"/>
                  </w:pPr>
                </w:p>
              </w:tc>
            </w:tr>
            <w:tr w:rsidR="007E46E0" w:rsidTr="00F35B19">
              <w:tc>
                <w:tcPr>
                  <w:tcW w:w="1075" w:type="dxa"/>
                  <w:shd w:val="clear" w:color="auto" w:fill="F2F2F2" w:themeFill="background1" w:themeFillShade="F2"/>
                  <w:vAlign w:val="center"/>
                </w:tcPr>
                <w:p w:rsidR="007E46E0" w:rsidRPr="00984048" w:rsidRDefault="007E46E0" w:rsidP="007E46E0">
                  <w:pPr>
                    <w:pStyle w:val="Sansinterligne"/>
                    <w:jc w:val="center"/>
                  </w:pPr>
                  <w:r w:rsidRPr="00984048">
                    <w:t>Année 4</w:t>
                  </w:r>
                </w:p>
              </w:tc>
              <w:tc>
                <w:tcPr>
                  <w:tcW w:w="1701" w:type="dxa"/>
                  <w:shd w:val="clear" w:color="auto" w:fill="F2F2F2" w:themeFill="background1" w:themeFillShade="F2"/>
                  <w:vAlign w:val="center"/>
                </w:tcPr>
                <w:p w:rsidR="007E46E0" w:rsidRPr="00984048" w:rsidRDefault="007E46E0" w:rsidP="007E46E0">
                  <w:pPr>
                    <w:pStyle w:val="Sansinterligne"/>
                    <w:jc w:val="center"/>
                  </w:pPr>
                </w:p>
              </w:tc>
              <w:tc>
                <w:tcPr>
                  <w:tcW w:w="1843" w:type="dxa"/>
                  <w:shd w:val="clear" w:color="auto" w:fill="F2F2F2" w:themeFill="background1" w:themeFillShade="F2"/>
                  <w:vAlign w:val="center"/>
                </w:tcPr>
                <w:p w:rsidR="007E46E0" w:rsidRPr="00984048" w:rsidRDefault="007E46E0" w:rsidP="007E46E0">
                  <w:pPr>
                    <w:pStyle w:val="Sansinterligne"/>
                    <w:jc w:val="center"/>
                  </w:pPr>
                  <w:r w:rsidRPr="00984048">
                    <w:t>X</w:t>
                  </w:r>
                </w:p>
              </w:tc>
              <w:tc>
                <w:tcPr>
                  <w:tcW w:w="1701" w:type="dxa"/>
                  <w:shd w:val="clear" w:color="auto" w:fill="F2F2F2" w:themeFill="background1" w:themeFillShade="F2"/>
                  <w:vAlign w:val="center"/>
                </w:tcPr>
                <w:p w:rsidR="007E46E0" w:rsidRPr="00984048" w:rsidRDefault="007E46E0" w:rsidP="007E46E0">
                  <w:pPr>
                    <w:pStyle w:val="Sansinterligne"/>
                    <w:jc w:val="center"/>
                  </w:pPr>
                  <w:r w:rsidRPr="00984048">
                    <w:t>Pendant 5 mois</w:t>
                  </w:r>
                </w:p>
              </w:tc>
              <w:tc>
                <w:tcPr>
                  <w:tcW w:w="2803" w:type="dxa"/>
                  <w:shd w:val="clear" w:color="auto" w:fill="F2F2F2" w:themeFill="background1" w:themeFillShade="F2"/>
                  <w:vAlign w:val="center"/>
                </w:tcPr>
                <w:p w:rsidR="007E46E0" w:rsidRPr="00984048" w:rsidRDefault="007E46E0" w:rsidP="007E46E0">
                  <w:pPr>
                    <w:pStyle w:val="Sansinterligne"/>
                    <w:jc w:val="center"/>
                  </w:pPr>
                  <w:r w:rsidRPr="00984048">
                    <w:t>Pendant les 7 mois suivants</w:t>
                  </w:r>
                </w:p>
              </w:tc>
            </w:tr>
            <w:tr w:rsidR="007E46E0" w:rsidTr="00F35B19">
              <w:tc>
                <w:tcPr>
                  <w:tcW w:w="1075" w:type="dxa"/>
                  <w:shd w:val="clear" w:color="auto" w:fill="BFBFBF" w:themeFill="background1" w:themeFillShade="BF"/>
                  <w:vAlign w:val="center"/>
                </w:tcPr>
                <w:p w:rsidR="007E46E0" w:rsidRPr="00984048" w:rsidRDefault="007E46E0" w:rsidP="007E46E0">
                  <w:pPr>
                    <w:pStyle w:val="Sansinterligne"/>
                    <w:jc w:val="center"/>
                  </w:pPr>
                  <w:r w:rsidRPr="00984048">
                    <w:t>Année 5</w:t>
                  </w:r>
                </w:p>
              </w:tc>
              <w:tc>
                <w:tcPr>
                  <w:tcW w:w="1701" w:type="dxa"/>
                  <w:shd w:val="clear" w:color="auto" w:fill="BFBFBF" w:themeFill="background1" w:themeFillShade="BF"/>
                  <w:vAlign w:val="center"/>
                </w:tcPr>
                <w:p w:rsidR="007E46E0" w:rsidRPr="00984048" w:rsidRDefault="007E46E0" w:rsidP="007E46E0">
                  <w:pPr>
                    <w:pStyle w:val="Sansinterligne"/>
                    <w:jc w:val="center"/>
                  </w:pPr>
                </w:p>
              </w:tc>
              <w:tc>
                <w:tcPr>
                  <w:tcW w:w="1843" w:type="dxa"/>
                  <w:shd w:val="clear" w:color="auto" w:fill="BFBFBF" w:themeFill="background1" w:themeFillShade="BF"/>
                  <w:vAlign w:val="center"/>
                </w:tcPr>
                <w:p w:rsidR="007E46E0" w:rsidRPr="00984048" w:rsidRDefault="007E46E0" w:rsidP="007E46E0">
                  <w:pPr>
                    <w:pStyle w:val="Sansinterligne"/>
                    <w:jc w:val="center"/>
                  </w:pPr>
                  <w:r w:rsidRPr="00984048">
                    <w:t>X</w:t>
                  </w:r>
                </w:p>
              </w:tc>
              <w:tc>
                <w:tcPr>
                  <w:tcW w:w="1701" w:type="dxa"/>
                  <w:shd w:val="clear" w:color="auto" w:fill="BFBFBF" w:themeFill="background1" w:themeFillShade="BF"/>
                  <w:vAlign w:val="center"/>
                </w:tcPr>
                <w:p w:rsidR="007E46E0" w:rsidRPr="00984048" w:rsidRDefault="007E46E0" w:rsidP="007E46E0">
                  <w:pPr>
                    <w:pStyle w:val="Sansinterligne"/>
                    <w:jc w:val="center"/>
                  </w:pPr>
                  <w:r w:rsidRPr="00984048">
                    <w:t>Pendant 5 mois</w:t>
                  </w:r>
                </w:p>
              </w:tc>
              <w:tc>
                <w:tcPr>
                  <w:tcW w:w="2803" w:type="dxa"/>
                  <w:shd w:val="clear" w:color="auto" w:fill="BFBFBF" w:themeFill="background1" w:themeFillShade="BF"/>
                  <w:vAlign w:val="center"/>
                </w:tcPr>
                <w:p w:rsidR="007E46E0" w:rsidRPr="00984048" w:rsidRDefault="007E46E0" w:rsidP="007E46E0">
                  <w:pPr>
                    <w:pStyle w:val="Sansinterligne"/>
                    <w:jc w:val="center"/>
                  </w:pPr>
                  <w:r w:rsidRPr="00984048">
                    <w:t>Pendant les 7 mois suivants</w:t>
                  </w:r>
                </w:p>
              </w:tc>
            </w:tr>
          </w:tbl>
          <w:p w:rsidR="007E46E0" w:rsidRDefault="007E46E0" w:rsidP="00D5408E"/>
          <w:p w:rsidR="007E46E0" w:rsidRDefault="007E46E0" w:rsidP="007E46E0">
            <w:pPr>
              <w:pStyle w:val="Titre2"/>
              <w:framePr w:wrap="auto" w:vAnchor="margin" w:yAlign="inline"/>
              <w:outlineLvl w:val="1"/>
            </w:pPr>
            <w:r w:rsidRPr="00315942">
              <w:t>Modalités de rémunération de l’agent selon la nature de l’arrêt maladie pour les agents titulaires :</w:t>
            </w:r>
            <w:r>
              <w:t> </w:t>
            </w:r>
          </w:p>
          <w:p w:rsidR="007E46E0" w:rsidRDefault="007E46E0" w:rsidP="007E46E0">
            <w:pPr>
              <w:pStyle w:val="Sansinterligne"/>
            </w:pPr>
            <w:r>
              <w:t xml:space="preserve">Les modalités de rémunération de l’agent contractuel sont définies par le décret </w:t>
            </w:r>
            <w:r w:rsidRPr="00595E91">
              <w:t>n° 91-155 du 6 février 1991 relatif aux dispositions générales applicables aux agents contractuels des établissements mentionnés à l'article 2 de la loi n° 86-33 du 9 janvier 1986 modifiée portant dispositions statutaires relatives à la fonction publique hospitalière</w:t>
            </w:r>
            <w:r>
              <w:t>.</w:t>
            </w:r>
          </w:p>
          <w:p w:rsidR="007E46E0" w:rsidRDefault="007E46E0" w:rsidP="007E46E0">
            <w:pPr>
              <w:pStyle w:val="Sansinterligne"/>
            </w:pPr>
            <w:r>
              <w:t>Plus précisément, c’est le « T</w:t>
            </w:r>
            <w:r w:rsidRPr="00595E91">
              <w:t>itre IV : Congés pour raison de santé, de maternité, de paternité, d'accueil d'un enfant ou d'adoption, ou d'accident de travail ou maladie professionnelle</w:t>
            </w:r>
            <w:r>
              <w:t xml:space="preserve"> », comprenant les articles 10 à 17-2, qui définit le cadre réglementaire de la rémunération pendant l’arrêt.  </w:t>
            </w:r>
          </w:p>
          <w:p w:rsidR="007E46E0" w:rsidRPr="00362463" w:rsidRDefault="007E46E0" w:rsidP="007E46E0"/>
          <w:p w:rsidR="007E46E0" w:rsidRPr="00595E91" w:rsidRDefault="007E46E0" w:rsidP="007E46E0">
            <w:pPr>
              <w:pStyle w:val="Sous-titre"/>
            </w:pPr>
            <w:r w:rsidRPr="00595E91">
              <w:t xml:space="preserve">Le congé de maladie : </w:t>
            </w:r>
          </w:p>
          <w:p w:rsidR="007E46E0" w:rsidRDefault="007E46E0" w:rsidP="007E46E0">
            <w:pPr>
              <w:pStyle w:val="Sansinterligne"/>
            </w:pPr>
            <w:r w:rsidRPr="00595E91">
              <w:rPr>
                <w:b/>
              </w:rPr>
              <w:sym w:font="Wingdings" w:char="F0E8"/>
            </w:r>
            <w:r>
              <w:rPr>
                <w:b/>
              </w:rPr>
              <w:t xml:space="preserve"> </w:t>
            </w:r>
            <w:r w:rsidRPr="00595E91">
              <w:rPr>
                <w:b/>
              </w:rPr>
              <w:t>L’article 10</w:t>
            </w:r>
            <w:r>
              <w:t xml:space="preserve"> précise ainsi que l'agent contractuel en activité bénéficie, sur présentation d'un certificat médical, de congés de maladie pendant une période de douze mois consécutifs ou, en cas de service discontinu, au cours d'une période comprenant trois cents jours de services effectifs, dans les limites suivantes :</w:t>
            </w:r>
          </w:p>
          <w:p w:rsidR="007E46E0" w:rsidRDefault="007E46E0" w:rsidP="007E46E0">
            <w:pPr>
              <w:pStyle w:val="Sansinterligne"/>
            </w:pPr>
            <w:r>
              <w:t>1° Après quatre mois de services, un mois à plein traitement et un mois à demi-traitement ;</w:t>
            </w:r>
          </w:p>
          <w:p w:rsidR="007E46E0" w:rsidRDefault="007E46E0" w:rsidP="007E46E0">
            <w:pPr>
              <w:pStyle w:val="Sansinterligne"/>
            </w:pPr>
            <w:r>
              <w:t>2° Après deux ans de services, deux mois à plein traitement et deux mois à demi-traitement ;</w:t>
            </w:r>
          </w:p>
          <w:p w:rsidR="007E46E0" w:rsidRDefault="007E46E0" w:rsidP="007E46E0">
            <w:pPr>
              <w:pStyle w:val="Sansinterligne"/>
            </w:pPr>
            <w:r>
              <w:t>3° Après trois ans de services, trois mois à plein traitement et trois mois à demi-traitement.</w:t>
            </w:r>
          </w:p>
          <w:p w:rsidR="007E46E0" w:rsidRDefault="007E46E0" w:rsidP="007E46E0">
            <w:pPr>
              <w:pStyle w:val="Sansinterligne"/>
            </w:pPr>
            <w:r>
              <w:t>Pour le décompte des périodes de référence prévues à l'alinéa précédent, toute journée ayant donné lieu à rémunération est décomptée pour une unité quelle que soit la durée de travail au cours de cette journée.</w:t>
            </w:r>
          </w:p>
          <w:p w:rsidR="007E46E0" w:rsidRDefault="007E46E0" w:rsidP="007E46E0">
            <w:pPr>
              <w:pStyle w:val="Sansinterligne"/>
              <w:rPr>
                <w:i/>
                <w:sz w:val="16"/>
                <w:szCs w:val="16"/>
              </w:rPr>
            </w:pPr>
          </w:p>
          <w:p w:rsidR="007E46E0" w:rsidRDefault="007E46E0" w:rsidP="007E46E0">
            <w:pPr>
              <w:pStyle w:val="Sansinterligne"/>
              <w:rPr>
                <w:i/>
                <w:sz w:val="16"/>
                <w:szCs w:val="16"/>
              </w:rPr>
            </w:pPr>
          </w:p>
          <w:p w:rsidR="007E46E0" w:rsidRDefault="007E46E0" w:rsidP="007E46E0">
            <w:pPr>
              <w:pStyle w:val="Sansinterligne"/>
            </w:pPr>
            <w:r w:rsidRPr="00362463">
              <w:rPr>
                <w:i/>
                <w:sz w:val="16"/>
                <w:szCs w:val="16"/>
              </w:rPr>
              <w:t>Source : Guide relatif à la protection sociale des fonctionnaires hospitaliers contre les risques maladies et accident de service</w:t>
            </w:r>
          </w:p>
          <w:p w:rsidR="007E46E0" w:rsidRPr="00595E91" w:rsidRDefault="007E46E0" w:rsidP="007E46E0">
            <w:pPr>
              <w:pStyle w:val="Sous-titre"/>
            </w:pPr>
            <w:r w:rsidRPr="00595E91">
              <w:t xml:space="preserve">Le congé de grave maladie : </w:t>
            </w:r>
          </w:p>
          <w:p w:rsidR="007E46E0" w:rsidRDefault="007E46E0" w:rsidP="007E46E0">
            <w:pPr>
              <w:pStyle w:val="Sansinterligne"/>
            </w:pPr>
            <w:r w:rsidRPr="00595E91">
              <w:rPr>
                <w:b/>
              </w:rPr>
              <w:sym w:font="Wingdings" w:char="F0E8"/>
            </w:r>
            <w:r w:rsidRPr="00595E91">
              <w:rPr>
                <w:b/>
              </w:rPr>
              <w:t xml:space="preserve"> L’article</w:t>
            </w:r>
            <w:r>
              <w:t xml:space="preserve"> </w:t>
            </w:r>
            <w:r w:rsidRPr="00595E91">
              <w:rPr>
                <w:b/>
              </w:rPr>
              <w:t>11</w:t>
            </w:r>
            <w:r>
              <w:t xml:space="preserve"> précise que l’agent contractuel en activité employé de manière continue et comptant au moins trois années de services effectifs, atteint d'une affection dûment constatée le mettant dans l'impossibilité d'exercer son activité, nécessitant un traitement et des soins prolongés et présentant un caractère invalidant et de gravité confirmée, bénéficie d'un congé de grave maladie pendant une période maximale de trois ans.</w:t>
            </w:r>
          </w:p>
          <w:p w:rsidR="007E46E0" w:rsidRDefault="007E46E0" w:rsidP="007E46E0">
            <w:pPr>
              <w:pStyle w:val="Sansinterligne"/>
            </w:pPr>
            <w:r>
              <w:t>Dans cette situation, l'intéressé conserve l'intégralité de son traitement pendant une durée de douze mois. Le traitement est réduit de moitié pendant les vingt-quatre mois suivants.</w:t>
            </w:r>
          </w:p>
          <w:p w:rsidR="007E46E0" w:rsidRDefault="007E46E0" w:rsidP="007E46E0">
            <w:pPr>
              <w:pStyle w:val="Sansinterligne"/>
            </w:pPr>
            <w:r>
              <w:t>En vue de l'octroi de ce congé, l'intéressé est soumis à l'examen d'un spécialiste agréé compétent pour l'affection en cause. La décision d'octroi est prise par l'autorité signataire du contrat sur avis émis par le comité médical saisi du dossier.</w:t>
            </w:r>
          </w:p>
          <w:p w:rsidR="007E46E0" w:rsidRDefault="007E46E0" w:rsidP="007E46E0">
            <w:pPr>
              <w:pStyle w:val="Sansinterligne"/>
            </w:pPr>
            <w:r>
              <w:t>La composition du comité médical et la procédure suivie sont celles prévues par la réglementation en vigueur pour les fonctionnaires titulaires.</w:t>
            </w:r>
          </w:p>
          <w:p w:rsidR="007E46E0" w:rsidRDefault="007E46E0" w:rsidP="007E46E0">
            <w:pPr>
              <w:pStyle w:val="Sansinterligne"/>
            </w:pPr>
            <w:r>
              <w:t>Le congé pour grave maladie peut être accordé par période de trois à six mois. L'agent qui a épuisé un congé de grave maladie ne peut bénéficier d'un autre congé de cette nature s'il n'a repris auparavant l'exercice de ses fonctions pendant un an.</w:t>
            </w:r>
          </w:p>
          <w:p w:rsidR="007E46E0" w:rsidRDefault="007E46E0" w:rsidP="007E46E0">
            <w:pPr>
              <w:pStyle w:val="Sansinterligne"/>
            </w:pPr>
          </w:p>
          <w:p w:rsidR="007E46E0" w:rsidRPr="00595E91" w:rsidRDefault="007E46E0" w:rsidP="007E46E0">
            <w:pPr>
              <w:pStyle w:val="Sous-titre"/>
            </w:pPr>
            <w:r w:rsidRPr="00595E91">
              <w:t xml:space="preserve">L’accident de travail et la maladie professionnelle : </w:t>
            </w:r>
          </w:p>
          <w:p w:rsidR="007E46E0" w:rsidRDefault="007E46E0" w:rsidP="007E46E0">
            <w:pPr>
              <w:pStyle w:val="Sansinterligne"/>
            </w:pPr>
            <w:r w:rsidRPr="00595E91">
              <w:rPr>
                <w:b/>
              </w:rPr>
              <w:sym w:font="Wingdings" w:char="F0E8"/>
            </w:r>
            <w:r w:rsidRPr="00595E91">
              <w:rPr>
                <w:b/>
              </w:rPr>
              <w:t xml:space="preserve"> L’article 12</w:t>
            </w:r>
            <w:r>
              <w:t xml:space="preserve"> précise que l’agent contractuel en activité bénéficie en cas d'accident du travail ou de maladie professionnelle d'un congé pendant toute la période d'incapacité de travail jusqu'à la guérison complète, la consolidation de la blessure ou le décès.</w:t>
            </w:r>
          </w:p>
          <w:p w:rsidR="007E46E0" w:rsidRDefault="007E46E0" w:rsidP="007E46E0">
            <w:pPr>
              <w:pStyle w:val="Sansinterligne"/>
            </w:pPr>
            <w:r>
              <w:t>L'intéressé a droit au versement de son plein traitement dans les limites suivantes :</w:t>
            </w:r>
          </w:p>
          <w:p w:rsidR="007E46E0" w:rsidRDefault="007E46E0" w:rsidP="007E46E0">
            <w:pPr>
              <w:pStyle w:val="Sansinterligne"/>
            </w:pPr>
            <w:r>
              <w:t>1° Pendant un mois dès son entrée en fonctions ;</w:t>
            </w:r>
          </w:p>
          <w:p w:rsidR="007E46E0" w:rsidRDefault="007E46E0" w:rsidP="007E46E0">
            <w:pPr>
              <w:pStyle w:val="Sansinterligne"/>
            </w:pPr>
            <w:r>
              <w:t>2° Pendant deux mois après un an de services ;</w:t>
            </w:r>
          </w:p>
          <w:p w:rsidR="007E46E0" w:rsidRDefault="007E46E0" w:rsidP="007E46E0">
            <w:pPr>
              <w:pStyle w:val="Sansinterligne"/>
            </w:pPr>
            <w:r>
              <w:t>3° Pendant trois mois après trois ans de services.</w:t>
            </w:r>
          </w:p>
          <w:p w:rsidR="007E46E0" w:rsidRDefault="007E46E0" w:rsidP="007E46E0">
            <w:pPr>
              <w:pStyle w:val="Sansinterligne"/>
            </w:pPr>
          </w:p>
          <w:p w:rsidR="007E46E0" w:rsidRDefault="007E46E0" w:rsidP="007E46E0">
            <w:pPr>
              <w:pStyle w:val="Sous-titre"/>
            </w:pPr>
            <w:r w:rsidRPr="00FE2867">
              <w:t>Le congé de maternité, paternité, d’accueil d’un enfant ou d’adoption :</w:t>
            </w:r>
          </w:p>
          <w:p w:rsidR="007E46E0" w:rsidRDefault="007E46E0" w:rsidP="007E46E0">
            <w:pPr>
              <w:pStyle w:val="Sansinterligne"/>
            </w:pPr>
            <w:r w:rsidRPr="00FE2867">
              <w:rPr>
                <w:b/>
              </w:rPr>
              <w:sym w:font="Wingdings" w:char="F0E8"/>
            </w:r>
            <w:r w:rsidRPr="00FE2867">
              <w:rPr>
                <w:b/>
              </w:rPr>
              <w:t xml:space="preserve"> L’article 13 </w:t>
            </w:r>
            <w:r>
              <w:t>précise que l</w:t>
            </w:r>
            <w:r w:rsidRPr="00FE2867">
              <w:t>'agent contractuel en activité a droit après six mois de services à un congé de maternité, de paternité, d'accueil d'un enfant ou d'adoption avec plein traitement d'une durée égale à celle qui est prévue par la législation sur la sécurité sociale.</w:t>
            </w:r>
          </w:p>
          <w:p w:rsidR="007E46E0" w:rsidRDefault="007E46E0" w:rsidP="00D5408E"/>
          <w:p w:rsidR="00D5408E" w:rsidRDefault="00D5408E" w:rsidP="00D5408E"/>
          <w:p w:rsidR="00D5408E" w:rsidRDefault="00D5408E" w:rsidP="00D5408E"/>
          <w:p w:rsidR="00D5408E" w:rsidRDefault="00D5408E" w:rsidP="00D5408E"/>
          <w:p w:rsidR="00D5408E" w:rsidRDefault="00D5408E" w:rsidP="00D5408E"/>
          <w:p w:rsidR="00D5408E" w:rsidRDefault="00D5408E" w:rsidP="00D5408E"/>
          <w:p w:rsidR="00D5408E" w:rsidRDefault="00D5408E" w:rsidP="00D5408E"/>
          <w:p w:rsidR="00D5408E" w:rsidRDefault="00D5408E" w:rsidP="00D5408E"/>
          <w:p w:rsidR="00D5408E" w:rsidRPr="00D5408E" w:rsidRDefault="00234102" w:rsidP="00D5408E">
            <w:r w:rsidRPr="00362463">
              <w:rPr>
                <w:i/>
                <w:sz w:val="16"/>
                <w:szCs w:val="16"/>
              </w:rPr>
              <w:t>Source : Guide relatif à la protection sociale des fonctionnaires hospitaliers contre les risques maladies et accident de service</w:t>
            </w:r>
          </w:p>
        </w:tc>
      </w:tr>
    </w:tbl>
    <w:p w:rsidR="00626876" w:rsidRDefault="002B1407"/>
    <w:sectPr w:rsidR="00626876" w:rsidSect="00142D6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64" w:rsidRDefault="00781164" w:rsidP="00781164">
      <w:pPr>
        <w:spacing w:after="0" w:line="240" w:lineRule="auto"/>
      </w:pPr>
      <w:r>
        <w:separator/>
      </w:r>
    </w:p>
  </w:endnote>
  <w:endnote w:type="continuationSeparator" w:id="0">
    <w:p w:rsidR="00781164" w:rsidRDefault="00781164" w:rsidP="0078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0" w:type="dxa"/>
      </w:tblCellMar>
      <w:tblLook w:val="04A0" w:firstRow="1" w:lastRow="0" w:firstColumn="1" w:lastColumn="0" w:noHBand="0" w:noVBand="1"/>
    </w:tblPr>
    <w:tblGrid>
      <w:gridCol w:w="10646"/>
    </w:tblGrid>
    <w:tr w:rsidR="00781164" w:rsidTr="005C2A20">
      <w:trPr>
        <w:trHeight w:val="283"/>
      </w:trPr>
      <w:tc>
        <w:tcPr>
          <w:tcW w:w="10646" w:type="dxa"/>
          <w:tcBorders>
            <w:top w:val="single" w:sz="4" w:space="0" w:color="2A9DA4"/>
            <w:bottom w:val="single" w:sz="4" w:space="0" w:color="2A9DA4"/>
          </w:tcBorders>
          <w:vAlign w:val="bottom"/>
        </w:tcPr>
        <w:p w:rsidR="00781164" w:rsidRPr="00781164" w:rsidRDefault="005C2A20" w:rsidP="00781164">
          <w:pPr>
            <w:tabs>
              <w:tab w:val="center" w:pos="4550"/>
              <w:tab w:val="left" w:pos="5818"/>
            </w:tabs>
            <w:ind w:right="260"/>
            <w:jc w:val="right"/>
            <w:rPr>
              <w:color w:val="808080" w:themeColor="background1" w:themeShade="80"/>
              <w:sz w:val="16"/>
              <w:szCs w:val="16"/>
            </w:rPr>
          </w:pPr>
          <w:r>
            <w:rPr>
              <w:color w:val="808080" w:themeColor="background1" w:themeShade="80"/>
              <w:sz w:val="16"/>
              <w:szCs w:val="16"/>
            </w:rPr>
            <w:t>P</w:t>
          </w:r>
          <w:r w:rsidR="00781164" w:rsidRPr="00781164">
            <w:rPr>
              <w:color w:val="808080" w:themeColor="background1" w:themeShade="80"/>
              <w:sz w:val="16"/>
              <w:szCs w:val="16"/>
            </w:rPr>
            <w:t xml:space="preserve">age </w:t>
          </w:r>
          <w:r w:rsidR="00781164" w:rsidRPr="00781164">
            <w:rPr>
              <w:color w:val="808080" w:themeColor="background1" w:themeShade="80"/>
              <w:sz w:val="16"/>
              <w:szCs w:val="16"/>
            </w:rPr>
            <w:fldChar w:fldCharType="begin"/>
          </w:r>
          <w:r w:rsidR="00781164" w:rsidRPr="00781164">
            <w:rPr>
              <w:color w:val="808080" w:themeColor="background1" w:themeShade="80"/>
              <w:sz w:val="16"/>
              <w:szCs w:val="16"/>
            </w:rPr>
            <w:instrText>PAGE   \* MERGEFORMAT</w:instrText>
          </w:r>
          <w:r w:rsidR="00781164" w:rsidRPr="00781164">
            <w:rPr>
              <w:color w:val="808080" w:themeColor="background1" w:themeShade="80"/>
              <w:sz w:val="16"/>
              <w:szCs w:val="16"/>
            </w:rPr>
            <w:fldChar w:fldCharType="separate"/>
          </w:r>
          <w:r w:rsidR="002B1407">
            <w:rPr>
              <w:noProof/>
              <w:color w:val="808080" w:themeColor="background1" w:themeShade="80"/>
              <w:sz w:val="16"/>
              <w:szCs w:val="16"/>
            </w:rPr>
            <w:t>5</w:t>
          </w:r>
          <w:r w:rsidR="00781164" w:rsidRPr="00781164">
            <w:rPr>
              <w:color w:val="808080" w:themeColor="background1" w:themeShade="80"/>
              <w:sz w:val="16"/>
              <w:szCs w:val="16"/>
            </w:rPr>
            <w:fldChar w:fldCharType="end"/>
          </w:r>
          <w:r w:rsidR="00781164" w:rsidRPr="00781164">
            <w:rPr>
              <w:color w:val="808080" w:themeColor="background1" w:themeShade="80"/>
              <w:sz w:val="16"/>
              <w:szCs w:val="16"/>
            </w:rPr>
            <w:t xml:space="preserve"> | </w:t>
          </w:r>
          <w:r w:rsidR="00781164" w:rsidRPr="00781164">
            <w:rPr>
              <w:color w:val="808080" w:themeColor="background1" w:themeShade="80"/>
              <w:sz w:val="16"/>
              <w:szCs w:val="16"/>
            </w:rPr>
            <w:fldChar w:fldCharType="begin"/>
          </w:r>
          <w:r w:rsidR="00781164" w:rsidRPr="00781164">
            <w:rPr>
              <w:color w:val="808080" w:themeColor="background1" w:themeShade="80"/>
              <w:sz w:val="16"/>
              <w:szCs w:val="16"/>
            </w:rPr>
            <w:instrText>NUMPAGES  \* Arabic  \* MERGEFORMAT</w:instrText>
          </w:r>
          <w:r w:rsidR="00781164" w:rsidRPr="00781164">
            <w:rPr>
              <w:color w:val="808080" w:themeColor="background1" w:themeShade="80"/>
              <w:sz w:val="16"/>
              <w:szCs w:val="16"/>
            </w:rPr>
            <w:fldChar w:fldCharType="separate"/>
          </w:r>
          <w:r w:rsidR="002B1407">
            <w:rPr>
              <w:noProof/>
              <w:color w:val="808080" w:themeColor="background1" w:themeShade="80"/>
              <w:sz w:val="16"/>
              <w:szCs w:val="16"/>
            </w:rPr>
            <w:t>5</w:t>
          </w:r>
          <w:r w:rsidR="00781164" w:rsidRPr="00781164">
            <w:rPr>
              <w:color w:val="808080" w:themeColor="background1" w:themeShade="80"/>
              <w:sz w:val="16"/>
              <w:szCs w:val="16"/>
            </w:rPr>
            <w:fldChar w:fldCharType="end"/>
          </w:r>
        </w:p>
        <w:p w:rsidR="00781164" w:rsidRDefault="00781164" w:rsidP="00781164">
          <w:pPr>
            <w:pStyle w:val="Pieddepage"/>
            <w:jc w:val="right"/>
          </w:pPr>
        </w:p>
      </w:tc>
    </w:tr>
    <w:tr w:rsidR="005C2A20" w:rsidTr="004467B3">
      <w:trPr>
        <w:trHeight w:val="283"/>
      </w:trPr>
      <w:tc>
        <w:tcPr>
          <w:tcW w:w="10646" w:type="dxa"/>
          <w:tcBorders>
            <w:top w:val="single" w:sz="4" w:space="0" w:color="2A9DA4"/>
          </w:tcBorders>
          <w:vAlign w:val="bottom"/>
        </w:tcPr>
        <w:p w:rsidR="005C2A20" w:rsidRDefault="005C2A20" w:rsidP="00781164">
          <w:pPr>
            <w:tabs>
              <w:tab w:val="center" w:pos="4550"/>
              <w:tab w:val="left" w:pos="5818"/>
            </w:tabs>
            <w:ind w:right="260"/>
            <w:jc w:val="right"/>
            <w:rPr>
              <w:color w:val="808080" w:themeColor="background1" w:themeShade="80"/>
              <w:sz w:val="16"/>
              <w:szCs w:val="16"/>
            </w:rPr>
          </w:pPr>
        </w:p>
      </w:tc>
    </w:tr>
  </w:tbl>
  <w:p w:rsidR="00781164" w:rsidRDefault="007811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64" w:rsidRDefault="00781164" w:rsidP="00781164">
      <w:pPr>
        <w:spacing w:after="0" w:line="240" w:lineRule="auto"/>
      </w:pPr>
      <w:r>
        <w:separator/>
      </w:r>
    </w:p>
  </w:footnote>
  <w:footnote w:type="continuationSeparator" w:id="0">
    <w:p w:rsidR="00781164" w:rsidRDefault="00781164" w:rsidP="00781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2C4"/>
    <w:multiLevelType w:val="hybridMultilevel"/>
    <w:tmpl w:val="5F3AC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F77C8"/>
    <w:multiLevelType w:val="hybridMultilevel"/>
    <w:tmpl w:val="168C7340"/>
    <w:lvl w:ilvl="0" w:tplc="8B90A9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D57FB"/>
    <w:multiLevelType w:val="hybridMultilevel"/>
    <w:tmpl w:val="AB8C8816"/>
    <w:lvl w:ilvl="0" w:tplc="64A8FE8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D7896"/>
    <w:multiLevelType w:val="hybridMultilevel"/>
    <w:tmpl w:val="D89C7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FA4877"/>
    <w:multiLevelType w:val="hybridMultilevel"/>
    <w:tmpl w:val="7112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9C4891"/>
    <w:multiLevelType w:val="hybridMultilevel"/>
    <w:tmpl w:val="5422E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AA3EAD"/>
    <w:multiLevelType w:val="hybridMultilevel"/>
    <w:tmpl w:val="5B287318"/>
    <w:lvl w:ilvl="0" w:tplc="15C444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15396"/>
    <w:multiLevelType w:val="hybridMultilevel"/>
    <w:tmpl w:val="B1C46048"/>
    <w:lvl w:ilvl="0" w:tplc="15C444E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4E38B3"/>
    <w:multiLevelType w:val="hybridMultilevel"/>
    <w:tmpl w:val="E4EC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7C5831"/>
    <w:multiLevelType w:val="hybridMultilevel"/>
    <w:tmpl w:val="1A4E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910982"/>
    <w:multiLevelType w:val="hybridMultilevel"/>
    <w:tmpl w:val="9D7C16A4"/>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EE1112"/>
    <w:multiLevelType w:val="hybridMultilevel"/>
    <w:tmpl w:val="0EB0E39A"/>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5D0FD9"/>
    <w:multiLevelType w:val="hybridMultilevel"/>
    <w:tmpl w:val="5B74D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
  </w:num>
  <w:num w:numId="5">
    <w:abstractNumId w:val="5"/>
  </w:num>
  <w:num w:numId="6">
    <w:abstractNumId w:val="8"/>
  </w:num>
  <w:num w:numId="7">
    <w:abstractNumId w:val="4"/>
  </w:num>
  <w:num w:numId="8">
    <w:abstractNumId w:val="6"/>
  </w:num>
  <w:num w:numId="9">
    <w:abstractNumId w:val="2"/>
  </w:num>
  <w:num w:numId="10">
    <w:abstractNumId w:val="7"/>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64"/>
    <w:rsid w:val="00085C07"/>
    <w:rsid w:val="00135AE9"/>
    <w:rsid w:val="00142D64"/>
    <w:rsid w:val="00160CD1"/>
    <w:rsid w:val="001A53EB"/>
    <w:rsid w:val="001C515F"/>
    <w:rsid w:val="001E1E7C"/>
    <w:rsid w:val="00234102"/>
    <w:rsid w:val="00281F0F"/>
    <w:rsid w:val="002B1407"/>
    <w:rsid w:val="00354CD0"/>
    <w:rsid w:val="00361C2E"/>
    <w:rsid w:val="0039227B"/>
    <w:rsid w:val="003A748C"/>
    <w:rsid w:val="004467B3"/>
    <w:rsid w:val="004A001D"/>
    <w:rsid w:val="005339E9"/>
    <w:rsid w:val="00576260"/>
    <w:rsid w:val="005C2A20"/>
    <w:rsid w:val="005E0381"/>
    <w:rsid w:val="00627AF9"/>
    <w:rsid w:val="006316F6"/>
    <w:rsid w:val="006323DC"/>
    <w:rsid w:val="0068183F"/>
    <w:rsid w:val="00733A91"/>
    <w:rsid w:val="00736B5E"/>
    <w:rsid w:val="00752600"/>
    <w:rsid w:val="00781164"/>
    <w:rsid w:val="007D3E22"/>
    <w:rsid w:val="007E46E0"/>
    <w:rsid w:val="008651A1"/>
    <w:rsid w:val="00872E7C"/>
    <w:rsid w:val="008F4091"/>
    <w:rsid w:val="00996E95"/>
    <w:rsid w:val="009F0D83"/>
    <w:rsid w:val="00A46DBD"/>
    <w:rsid w:val="00A60BA2"/>
    <w:rsid w:val="00AD41E4"/>
    <w:rsid w:val="00B32F7D"/>
    <w:rsid w:val="00B6342C"/>
    <w:rsid w:val="00BB6631"/>
    <w:rsid w:val="00BE46F4"/>
    <w:rsid w:val="00BF7855"/>
    <w:rsid w:val="00C1050A"/>
    <w:rsid w:val="00D42095"/>
    <w:rsid w:val="00D43B95"/>
    <w:rsid w:val="00D5408E"/>
    <w:rsid w:val="00E85E6C"/>
    <w:rsid w:val="00EB0F36"/>
    <w:rsid w:val="00EE2CB6"/>
    <w:rsid w:val="00F5721C"/>
    <w:rsid w:val="00F71031"/>
    <w:rsid w:val="00FA3A79"/>
    <w:rsid w:val="00FF29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184C205-2805-4688-B15A-77244D07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A1"/>
    <w:rPr>
      <w:rFonts w:ascii="Arial Narrow" w:hAnsi="Arial Narrow"/>
      <w:sz w:val="24"/>
    </w:rPr>
  </w:style>
  <w:style w:type="paragraph" w:styleId="Titre1">
    <w:name w:val="heading 1"/>
    <w:basedOn w:val="Normal"/>
    <w:next w:val="Normal"/>
    <w:link w:val="Titre1Car"/>
    <w:uiPriority w:val="9"/>
    <w:qFormat/>
    <w:rsid w:val="00FF299D"/>
    <w:pPr>
      <w:keepNext/>
      <w:keepLines/>
      <w:spacing w:after="0"/>
      <w:outlineLvl w:val="0"/>
    </w:pPr>
    <w:rPr>
      <w:rFonts w:eastAsiaTheme="majorEastAsia" w:cstheme="majorBidi"/>
      <w:b/>
      <w:caps/>
      <w:color w:val="FFFFFF" w:themeColor="background1"/>
      <w:sz w:val="28"/>
      <w:szCs w:val="32"/>
    </w:rPr>
  </w:style>
  <w:style w:type="paragraph" w:styleId="Titre2">
    <w:name w:val="heading 2"/>
    <w:basedOn w:val="Normal"/>
    <w:next w:val="Normal"/>
    <w:link w:val="Titre2Car"/>
    <w:uiPriority w:val="9"/>
    <w:unhideWhenUsed/>
    <w:qFormat/>
    <w:rsid w:val="00F71031"/>
    <w:pPr>
      <w:keepNext/>
      <w:keepLines/>
      <w:framePr w:wrap="around" w:vAnchor="text" w:hAnchor="text" w:y="1"/>
      <w:spacing w:after="120"/>
      <w:outlineLvl w:val="1"/>
    </w:pPr>
    <w:rPr>
      <w:rFonts w:eastAsiaTheme="majorEastAsia" w:cstheme="majorBidi"/>
      <w:b/>
      <w:caps/>
      <w:color w:val="2A9DA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299D"/>
    <w:rPr>
      <w:rFonts w:ascii="Arial" w:eastAsiaTheme="majorEastAsia" w:hAnsi="Arial" w:cstheme="majorBidi"/>
      <w:b/>
      <w:caps/>
      <w:color w:val="FFFFFF" w:themeColor="background1"/>
      <w:sz w:val="28"/>
      <w:szCs w:val="32"/>
    </w:rPr>
  </w:style>
  <w:style w:type="paragraph" w:styleId="En-tte">
    <w:name w:val="header"/>
    <w:basedOn w:val="Normal"/>
    <w:link w:val="En-tteCar"/>
    <w:uiPriority w:val="99"/>
    <w:unhideWhenUsed/>
    <w:rsid w:val="00781164"/>
    <w:pPr>
      <w:tabs>
        <w:tab w:val="center" w:pos="4536"/>
        <w:tab w:val="right" w:pos="9072"/>
      </w:tabs>
      <w:spacing w:after="0" w:line="240" w:lineRule="auto"/>
    </w:pPr>
  </w:style>
  <w:style w:type="character" w:customStyle="1" w:styleId="En-tteCar">
    <w:name w:val="En-tête Car"/>
    <w:basedOn w:val="Policepardfaut"/>
    <w:link w:val="En-tte"/>
    <w:uiPriority w:val="99"/>
    <w:rsid w:val="00781164"/>
    <w:rPr>
      <w:rFonts w:ascii="Arial" w:hAnsi="Arial"/>
    </w:rPr>
  </w:style>
  <w:style w:type="paragraph" w:styleId="Pieddepage">
    <w:name w:val="footer"/>
    <w:basedOn w:val="Normal"/>
    <w:link w:val="PieddepageCar"/>
    <w:uiPriority w:val="99"/>
    <w:unhideWhenUsed/>
    <w:rsid w:val="00781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164"/>
    <w:rPr>
      <w:rFonts w:ascii="Arial" w:hAnsi="Arial"/>
    </w:rPr>
  </w:style>
  <w:style w:type="paragraph" w:styleId="Sansinterligne">
    <w:name w:val="No Spacing"/>
    <w:aliases w:val="Txt"/>
    <w:next w:val="Normal"/>
    <w:uiPriority w:val="1"/>
    <w:qFormat/>
    <w:rsid w:val="00D5408E"/>
    <w:pPr>
      <w:spacing w:after="100" w:line="240" w:lineRule="auto"/>
      <w:jc w:val="both"/>
    </w:pPr>
    <w:rPr>
      <w:rFonts w:ascii="Arial Narrow" w:hAnsi="Arial Narrow"/>
      <w:sz w:val="24"/>
    </w:rPr>
  </w:style>
  <w:style w:type="character" w:customStyle="1" w:styleId="Titre2Car">
    <w:name w:val="Titre 2 Car"/>
    <w:basedOn w:val="Policepardfaut"/>
    <w:link w:val="Titre2"/>
    <w:uiPriority w:val="9"/>
    <w:rsid w:val="00F71031"/>
    <w:rPr>
      <w:rFonts w:ascii="Arial Narrow" w:eastAsiaTheme="majorEastAsia" w:hAnsi="Arial Narrow" w:cstheme="majorBidi"/>
      <w:b/>
      <w:caps/>
      <w:color w:val="2A9DA4"/>
      <w:sz w:val="26"/>
      <w:szCs w:val="26"/>
    </w:rPr>
  </w:style>
  <w:style w:type="paragraph" w:styleId="Paragraphedeliste">
    <w:name w:val="List Paragraph"/>
    <w:basedOn w:val="Normal"/>
    <w:link w:val="ParagraphedelisteCar"/>
    <w:uiPriority w:val="34"/>
    <w:qFormat/>
    <w:rsid w:val="003A748C"/>
    <w:pPr>
      <w:ind w:left="720"/>
      <w:contextualSpacing/>
    </w:pPr>
    <w:rPr>
      <w:rFonts w:asciiTheme="minorHAnsi" w:eastAsiaTheme="minorEastAsia" w:hAnsiTheme="minorHAnsi"/>
      <w:lang w:eastAsia="fr-FR"/>
    </w:rPr>
  </w:style>
  <w:style w:type="character" w:customStyle="1" w:styleId="ParagraphedelisteCar">
    <w:name w:val="Paragraphe de liste Car"/>
    <w:link w:val="Paragraphedeliste"/>
    <w:uiPriority w:val="34"/>
    <w:rsid w:val="003A748C"/>
    <w:rPr>
      <w:rFonts w:eastAsiaTheme="minorEastAsia"/>
      <w:lang w:eastAsia="fr-FR"/>
    </w:rPr>
  </w:style>
  <w:style w:type="paragraph" w:styleId="Sous-titre">
    <w:name w:val="Subtitle"/>
    <w:basedOn w:val="Normal"/>
    <w:next w:val="Normal"/>
    <w:link w:val="Sous-titreCar"/>
    <w:uiPriority w:val="11"/>
    <w:qFormat/>
    <w:rsid w:val="004A001D"/>
    <w:pPr>
      <w:numPr>
        <w:ilvl w:val="1"/>
      </w:numPr>
      <w:spacing w:after="120"/>
    </w:pPr>
    <w:rPr>
      <w:rFonts w:eastAsiaTheme="minorEastAsia"/>
      <w:b/>
      <w:color w:val="2A9DA4"/>
      <w:sz w:val="26"/>
    </w:rPr>
  </w:style>
  <w:style w:type="character" w:customStyle="1" w:styleId="Sous-titreCar">
    <w:name w:val="Sous-titre Car"/>
    <w:basedOn w:val="Policepardfaut"/>
    <w:link w:val="Sous-titre"/>
    <w:uiPriority w:val="11"/>
    <w:rsid w:val="004A001D"/>
    <w:rPr>
      <w:rFonts w:ascii="Arial Narrow" w:eastAsiaTheme="minorEastAsia" w:hAnsi="Arial Narrow"/>
      <w:b/>
      <w:color w:val="2A9DA4"/>
      <w:sz w:val="26"/>
    </w:rPr>
  </w:style>
  <w:style w:type="paragraph" w:styleId="Textedebulles">
    <w:name w:val="Balloon Text"/>
    <w:basedOn w:val="Normal"/>
    <w:link w:val="TextedebullesCar"/>
    <w:uiPriority w:val="99"/>
    <w:semiHidden/>
    <w:unhideWhenUsed/>
    <w:rsid w:val="00996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E95"/>
    <w:rPr>
      <w:rFonts w:ascii="Segoe UI" w:hAnsi="Segoe UI" w:cs="Segoe UI"/>
      <w:sz w:val="18"/>
      <w:szCs w:val="18"/>
    </w:rPr>
  </w:style>
  <w:style w:type="character" w:styleId="Lienhypertexte">
    <w:name w:val="Hyperlink"/>
    <w:basedOn w:val="Policepardfaut"/>
    <w:uiPriority w:val="99"/>
    <w:unhideWhenUsed/>
    <w:rsid w:val="00EB0F36"/>
    <w:rPr>
      <w:color w:val="0000FF"/>
      <w:u w:val="single"/>
    </w:rPr>
  </w:style>
  <w:style w:type="table" w:styleId="TableauGrille1Clair-Accentuation5">
    <w:name w:val="Grid Table 1 Light Accent 5"/>
    <w:basedOn w:val="TableauNormal"/>
    <w:uiPriority w:val="46"/>
    <w:rsid w:val="00D43B9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2559-C8EA-49F1-9EDE-45B9C6C0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1486</Words>
  <Characters>8173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Fortier</dc:creator>
  <cp:keywords/>
  <dc:description/>
  <cp:lastModifiedBy>BIRON Aurélie</cp:lastModifiedBy>
  <cp:revision>7</cp:revision>
  <cp:lastPrinted>2018-03-08T16:05:00Z</cp:lastPrinted>
  <dcterms:created xsi:type="dcterms:W3CDTF">2018-03-12T09:10:00Z</dcterms:created>
  <dcterms:modified xsi:type="dcterms:W3CDTF">2018-04-26T15:18:00Z</dcterms:modified>
</cp:coreProperties>
</file>