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073EFA" w:rsidTr="00073EFA">
        <w:trPr>
          <w:trHeight w:val="256"/>
        </w:trPr>
        <w:tc>
          <w:tcPr>
            <w:tcW w:w="10466" w:type="dxa"/>
            <w:gridSpan w:val="2"/>
            <w:tcBorders>
              <w:top w:val="nil"/>
              <w:left w:val="nil"/>
              <w:bottom w:val="nil"/>
              <w:right w:val="nil"/>
            </w:tcBorders>
          </w:tcPr>
          <w:p w:rsidR="00073EFA" w:rsidRDefault="00073EFA" w:rsidP="00073EFA">
            <w:pPr>
              <w:pStyle w:val="Titre1"/>
              <w:jc w:val="right"/>
              <w:outlineLvl w:val="0"/>
              <w:rPr>
                <w:noProof/>
              </w:rPr>
            </w:pPr>
            <w:r w:rsidRPr="00366D33">
              <w:rPr>
                <w:rFonts w:ascii="Calibri" w:hAnsi="Calibri"/>
                <w:b w:val="0"/>
                <w:bCs/>
                <w:color w:val="FF0000"/>
                <w:sz w:val="22"/>
                <w:szCs w:val="22"/>
              </w:rPr>
              <w:t> logo établissement à insérer</w:t>
            </w:r>
          </w:p>
        </w:tc>
      </w:tr>
      <w:tr w:rsidR="00142D64" w:rsidTr="00996E95">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142D64" w:rsidTr="00996E95">
        <w:trPr>
          <w:trHeight w:val="204"/>
        </w:trPr>
        <w:tc>
          <w:tcPr>
            <w:tcW w:w="10466" w:type="dxa"/>
            <w:gridSpan w:val="2"/>
            <w:tcBorders>
              <w:top w:val="nil"/>
              <w:left w:val="nil"/>
              <w:bottom w:val="nil"/>
              <w:right w:val="nil"/>
            </w:tcBorders>
            <w:shd w:val="clear" w:color="auto" w:fill="A6A6A6" w:themeFill="background1" w:themeFillShade="A6"/>
            <w:vAlign w:val="center"/>
          </w:tcPr>
          <w:p w:rsidR="00142D64" w:rsidRPr="00142D64" w:rsidRDefault="00073EFA" w:rsidP="00142D64">
            <w:pPr>
              <w:rPr>
                <w:color w:val="FFFFFF" w:themeColor="background1"/>
              </w:rPr>
            </w:pPr>
            <w:r w:rsidRPr="005C2A20">
              <w:rPr>
                <w:color w:val="FFFFFF" w:themeColor="background1"/>
                <w:sz w:val="20"/>
              </w:rPr>
              <w:t>HANDICAP.ANFH.FR</w:t>
            </w:r>
          </w:p>
        </w:tc>
      </w:tr>
      <w:tr w:rsidR="00142D64" w:rsidTr="003A748C">
        <w:trPr>
          <w:trHeight w:val="850"/>
        </w:trPr>
        <w:tc>
          <w:tcPr>
            <w:tcW w:w="10466" w:type="dxa"/>
            <w:gridSpan w:val="2"/>
            <w:tcBorders>
              <w:top w:val="nil"/>
              <w:left w:val="nil"/>
              <w:bottom w:val="nil"/>
              <w:right w:val="nil"/>
            </w:tcBorders>
            <w:shd w:val="clear" w:color="auto" w:fill="2A9DA4"/>
            <w:vAlign w:val="center"/>
          </w:tcPr>
          <w:p w:rsidR="00142D64" w:rsidRPr="00160CD1" w:rsidRDefault="008D0972" w:rsidP="00160CD1">
            <w:pPr>
              <w:pStyle w:val="Titre1"/>
              <w:outlineLvl w:val="0"/>
            </w:pPr>
            <w:r w:rsidRPr="00B710E6">
              <w:t>LETTRE D’INFORMATION EN CAS D’ARRÊT LONG</w:t>
            </w:r>
            <w:r w:rsidR="003B0E05">
              <w:t xml:space="preserve"> (version 2)</w:t>
            </w:r>
          </w:p>
        </w:tc>
      </w:tr>
      <w:tr w:rsidR="00FF299D" w:rsidTr="00872E7C">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8D0972" w:rsidTr="00B32F7D">
        <w:trPr>
          <w:trHeight w:val="9760"/>
        </w:trPr>
        <w:tc>
          <w:tcPr>
            <w:tcW w:w="1276" w:type="dxa"/>
            <w:tcBorders>
              <w:top w:val="nil"/>
              <w:left w:val="nil"/>
              <w:bottom w:val="nil"/>
              <w:right w:val="nil"/>
            </w:tcBorders>
          </w:tcPr>
          <w:p w:rsidR="008D0972" w:rsidRDefault="008D0972" w:rsidP="008D0972"/>
        </w:tc>
        <w:tc>
          <w:tcPr>
            <w:tcW w:w="9190" w:type="dxa"/>
            <w:tcBorders>
              <w:top w:val="nil"/>
              <w:left w:val="nil"/>
              <w:bottom w:val="nil"/>
              <w:right w:val="nil"/>
            </w:tcBorders>
          </w:tcPr>
          <w:p w:rsidR="008D0972" w:rsidRDefault="008D0972" w:rsidP="008D0972">
            <w:pPr>
              <w:pStyle w:val="Sansinterligne"/>
              <w:numPr>
                <w:ilvl w:val="0"/>
                <w:numId w:val="0"/>
              </w:numPr>
            </w:pPr>
            <w:r w:rsidRPr="00FF04B3">
              <w:t>Madame, Monsieur,</w:t>
            </w:r>
          </w:p>
          <w:p w:rsidR="008D0972" w:rsidRPr="00354CD0" w:rsidRDefault="008D0972" w:rsidP="008D0972"/>
          <w:p w:rsidR="00FF04B3" w:rsidRDefault="00FF04B3" w:rsidP="00FF04B3">
            <w:pPr>
              <w:pStyle w:val="Sansinterligne"/>
              <w:numPr>
                <w:ilvl w:val="0"/>
                <w:numId w:val="0"/>
              </w:numPr>
            </w:pPr>
            <w:r w:rsidRPr="51E9B383">
              <w:t xml:space="preserve">Vous êtes en arrêt de travail depuis le </w:t>
            </w:r>
            <w:r w:rsidRPr="51E9B383">
              <w:rPr>
                <w:highlight w:val="yellow"/>
              </w:rPr>
              <w:t>XXX</w:t>
            </w:r>
            <w:r w:rsidRPr="51E9B383">
              <w:t xml:space="preserve">. </w:t>
            </w:r>
          </w:p>
          <w:p w:rsidR="00FF04B3" w:rsidRPr="00FF04B3" w:rsidRDefault="00FF04B3" w:rsidP="00FF04B3"/>
          <w:p w:rsidR="00FF04B3" w:rsidRDefault="00FF04B3" w:rsidP="00FF04B3">
            <w:pPr>
              <w:pStyle w:val="Sansinterligne"/>
              <w:numPr>
                <w:ilvl w:val="0"/>
                <w:numId w:val="0"/>
              </w:numPr>
            </w:pPr>
            <w:r w:rsidRPr="51E9B383">
              <w:rPr>
                <w:highlight w:val="yellow"/>
              </w:rPr>
              <w:t>[Sélection le texte correspondant à la situation de l’agent]</w:t>
            </w:r>
            <w:r w:rsidRPr="51E9B383">
              <w:t xml:space="preserve"> </w:t>
            </w:r>
          </w:p>
          <w:p w:rsidR="00FF04B3" w:rsidRPr="00FF04B3" w:rsidRDefault="00FF04B3" w:rsidP="00FF04B3"/>
          <w:p w:rsidR="00FF04B3" w:rsidRPr="00422C88" w:rsidRDefault="00FF04B3" w:rsidP="00FF04B3">
            <w:pPr>
              <w:pStyle w:val="Sansinterligne"/>
              <w:numPr>
                <w:ilvl w:val="0"/>
                <w:numId w:val="0"/>
              </w:numPr>
              <w:rPr>
                <w:b/>
                <w:bCs/>
                <w:i/>
                <w:iCs/>
                <w:u w:val="single"/>
              </w:rPr>
            </w:pPr>
            <w:r w:rsidRPr="51E9B383">
              <w:rPr>
                <w:b/>
                <w:bCs/>
                <w:i/>
                <w:iCs/>
                <w:highlight w:val="yellow"/>
                <w:u w:val="single"/>
              </w:rPr>
              <w:t>Possibilité n°1 :</w:t>
            </w:r>
            <w:r w:rsidRPr="51E9B383">
              <w:rPr>
                <w:b/>
                <w:bCs/>
                <w:i/>
                <w:iCs/>
                <w:u w:val="single"/>
              </w:rPr>
              <w:t xml:space="preserve"> </w:t>
            </w:r>
          </w:p>
          <w:p w:rsidR="00FF04B3" w:rsidRDefault="00FF04B3" w:rsidP="00FF04B3">
            <w:pPr>
              <w:pStyle w:val="Sansinterligne"/>
              <w:numPr>
                <w:ilvl w:val="0"/>
                <w:numId w:val="0"/>
              </w:numPr>
            </w:pPr>
            <w:r w:rsidRPr="51E9B383">
              <w:t xml:space="preserve">Vous êtes en maladie ordinaire. A compter de 12 mois, votre situation administrative doit évoluer. Votre situation sera examinée par un comité médical, qui déléguera un médecin expert afin de statuer sur votre aptitude au travail. Un </w:t>
            </w:r>
            <w:r w:rsidRPr="51E9B383">
              <w:rPr>
                <w:b/>
                <w:bCs/>
              </w:rPr>
              <w:t>délai de traitement d’environ 4 mois</w:t>
            </w:r>
            <w:r w:rsidRPr="51E9B383">
              <w:t xml:space="preserve"> est actuellement à prévoir pour bénéficier d’un retour du comité médical.</w:t>
            </w:r>
          </w:p>
          <w:p w:rsidR="00FF04B3" w:rsidRPr="00FF04B3" w:rsidRDefault="00FF04B3" w:rsidP="00FF04B3"/>
          <w:p w:rsidR="00FF04B3" w:rsidRPr="00422C88" w:rsidRDefault="00FF04B3" w:rsidP="00FF04B3">
            <w:pPr>
              <w:pStyle w:val="Sansinterligne"/>
              <w:numPr>
                <w:ilvl w:val="0"/>
                <w:numId w:val="0"/>
              </w:numPr>
            </w:pPr>
            <w:r w:rsidRPr="51E9B383">
              <w:t>Le comité émettra l’un des avis suivants :</w:t>
            </w:r>
          </w:p>
          <w:p w:rsidR="00FF04B3" w:rsidRPr="00422C88" w:rsidRDefault="00FF04B3" w:rsidP="00FF04B3">
            <w:pPr>
              <w:pStyle w:val="Sansinterligne"/>
              <w:numPr>
                <w:ilvl w:val="0"/>
                <w:numId w:val="14"/>
              </w:numPr>
            </w:pPr>
            <w:r w:rsidRPr="51E9B383">
              <w:t>Reprise immédiate du travail, avec ou sans aménagement de poste ou temps partiel thérapeutique. Dans ce cas, nous vous invitons à nous contacter rapidement pour organiser une visite de reprise avec le médecin du travail, celle-ci devant être effectuée dans les 8 jours suivant la reprise.</w:t>
            </w:r>
          </w:p>
          <w:p w:rsidR="00FF04B3" w:rsidRPr="00422C88" w:rsidRDefault="00FF04B3" w:rsidP="00FF04B3">
            <w:pPr>
              <w:pStyle w:val="Sansinterligne"/>
              <w:numPr>
                <w:ilvl w:val="0"/>
                <w:numId w:val="14"/>
              </w:numPr>
            </w:pPr>
            <w:r w:rsidRPr="51E9B383">
              <w:t>Maintien exceptionnel en maladie ordinaire. Nous attirons votre attention sur le fait que cet avis reste rare.</w:t>
            </w:r>
          </w:p>
          <w:p w:rsidR="00FF04B3" w:rsidRDefault="00FF04B3" w:rsidP="00FF04B3">
            <w:pPr>
              <w:pStyle w:val="Sansinterligne"/>
              <w:numPr>
                <w:ilvl w:val="0"/>
                <w:numId w:val="14"/>
              </w:numPr>
            </w:pPr>
            <w:r w:rsidRPr="51E9B383">
              <w:t>Disponibilité d’office pour raisons de santé (un demi-traitement est maintenu). Dans ce cas, le comité médical réexaminera votre situation tous les 6 mois et pourra éventuellement prononcer une reprise du travail, un maintien en disponibilité d’office pour raison de santé, une radiation des cadres ou une retraite pour invalidité.</w:t>
            </w:r>
          </w:p>
          <w:p w:rsidR="00FF04B3" w:rsidRPr="00FF04B3" w:rsidRDefault="00FF04B3" w:rsidP="00FF04B3"/>
          <w:p w:rsidR="00FF04B3" w:rsidRPr="00422C88" w:rsidRDefault="00FF04B3" w:rsidP="00FF04B3">
            <w:pPr>
              <w:pStyle w:val="Sansinterligne"/>
              <w:numPr>
                <w:ilvl w:val="0"/>
                <w:numId w:val="0"/>
              </w:numPr>
              <w:rPr>
                <w:b/>
                <w:bCs/>
                <w:i/>
                <w:iCs/>
                <w:u w:val="single"/>
              </w:rPr>
            </w:pPr>
            <w:r w:rsidRPr="51E9B383">
              <w:rPr>
                <w:b/>
                <w:bCs/>
                <w:i/>
                <w:iCs/>
                <w:highlight w:val="yellow"/>
                <w:u w:val="single"/>
              </w:rPr>
              <w:t>Possibilité n°2 :</w:t>
            </w:r>
            <w:r w:rsidRPr="51E9B383">
              <w:rPr>
                <w:b/>
                <w:bCs/>
                <w:i/>
                <w:iCs/>
                <w:u w:val="single"/>
              </w:rPr>
              <w:t xml:space="preserve"> </w:t>
            </w:r>
          </w:p>
          <w:p w:rsidR="00FF04B3" w:rsidRDefault="00FF04B3" w:rsidP="00FF04B3">
            <w:pPr>
              <w:pStyle w:val="Sansinterligne"/>
              <w:numPr>
                <w:ilvl w:val="0"/>
                <w:numId w:val="0"/>
              </w:numPr>
            </w:pPr>
            <w:r w:rsidRPr="51E9B383">
              <w:t>Vous êtes en Congé Longue Maladie ou Congé Longue Durée. Celui-ci est à renouveler tous les 6 mois par vos soins, par l’envoi d’un courrier de demande accompagné d’un courrier sous pli confidentiel de votre médecin traitant. Nous vous invitons à veiller au respect de l’échéance régulière de renouvellement.</w:t>
            </w:r>
          </w:p>
          <w:p w:rsidR="00FF04B3" w:rsidRPr="00FF04B3" w:rsidRDefault="00FF04B3" w:rsidP="00FF04B3"/>
          <w:p w:rsidR="00FF04B3" w:rsidRPr="00422C88" w:rsidRDefault="00FF04B3" w:rsidP="00FF04B3">
            <w:pPr>
              <w:pStyle w:val="Sansinterligne"/>
              <w:numPr>
                <w:ilvl w:val="0"/>
                <w:numId w:val="0"/>
              </w:numPr>
              <w:rPr>
                <w:b/>
                <w:bCs/>
                <w:i/>
                <w:iCs/>
                <w:u w:val="single"/>
              </w:rPr>
            </w:pPr>
            <w:r w:rsidRPr="51E9B383">
              <w:rPr>
                <w:b/>
                <w:bCs/>
                <w:i/>
                <w:iCs/>
                <w:highlight w:val="yellow"/>
                <w:u w:val="single"/>
              </w:rPr>
              <w:t>Possibilité n°3 :</w:t>
            </w:r>
            <w:r w:rsidRPr="51E9B383">
              <w:rPr>
                <w:b/>
                <w:bCs/>
                <w:i/>
                <w:iCs/>
                <w:u w:val="single"/>
              </w:rPr>
              <w:t xml:space="preserve"> </w:t>
            </w:r>
          </w:p>
          <w:p w:rsidR="00FF04B3" w:rsidRDefault="00FF04B3" w:rsidP="00FF04B3">
            <w:pPr>
              <w:pStyle w:val="Sansinterligne"/>
              <w:numPr>
                <w:ilvl w:val="0"/>
                <w:numId w:val="0"/>
              </w:numPr>
            </w:pPr>
            <w:r w:rsidRPr="51E9B383">
              <w:t>Celui-ci est à renouveler à échéance régulière (semestrielle ou annuelle) : le service des RH doit saisir</w:t>
            </w:r>
            <w:r w:rsidR="006B223F">
              <w:t xml:space="preserve"> la Commission de Réforme, muni</w:t>
            </w:r>
            <w:r w:rsidRPr="51E9B383">
              <w:t xml:space="preserve"> d’un courrier de demande de prolongation de votre part, et d’un courrier sous pli confidentiel de votre médecin traitant.</w:t>
            </w:r>
          </w:p>
          <w:p w:rsidR="00FF04B3" w:rsidRDefault="00FF04B3" w:rsidP="00FF04B3"/>
          <w:p w:rsidR="006B223F" w:rsidRDefault="006B223F" w:rsidP="00FF04B3"/>
          <w:p w:rsidR="006B223F" w:rsidRDefault="006B223F" w:rsidP="00FF04B3"/>
          <w:p w:rsidR="006B223F" w:rsidRPr="00FF04B3" w:rsidRDefault="006B223F" w:rsidP="00FF04B3"/>
          <w:p w:rsidR="00FF04B3" w:rsidRPr="00422C88" w:rsidRDefault="00FF04B3" w:rsidP="00FF04B3">
            <w:pPr>
              <w:pStyle w:val="Sansinterligne"/>
              <w:numPr>
                <w:ilvl w:val="0"/>
                <w:numId w:val="0"/>
              </w:numPr>
              <w:rPr>
                <w:b/>
                <w:bCs/>
              </w:rPr>
            </w:pPr>
            <w:r w:rsidRPr="51E9B383">
              <w:t xml:space="preserve">Quelle que soit votre situation administrative, si vous pensez que la reprise est possible prochainement, et que </w:t>
            </w:r>
            <w:r w:rsidRPr="51E9B383">
              <w:rPr>
                <w:b/>
                <w:bCs/>
              </w:rPr>
              <w:t>vous anticipez des difficultés de reprise sur votre poste, nous vous invitons :</w:t>
            </w:r>
          </w:p>
          <w:p w:rsidR="00FF04B3" w:rsidRPr="00422C88" w:rsidRDefault="00FF04B3" w:rsidP="00C442E7">
            <w:pPr>
              <w:pStyle w:val="Sansinterligne"/>
              <w:numPr>
                <w:ilvl w:val="0"/>
                <w:numId w:val="15"/>
              </w:numPr>
              <w:ind w:left="720"/>
              <w:rPr>
                <w:b/>
                <w:bCs/>
              </w:rPr>
            </w:pPr>
            <w:r w:rsidRPr="51E9B383">
              <w:rPr>
                <w:b/>
                <w:bCs/>
              </w:rPr>
              <w:lastRenderedPageBreak/>
              <w:t>à solliciter une visite de pré-reprise auprès du service de santé au travail</w:t>
            </w:r>
            <w:r w:rsidRPr="51E9B383">
              <w:t xml:space="preserve">, afin de déterminer avec le médecin si des aménagements de votre poste de travail seront nécessaires. Vous pouvez les contacter au </w:t>
            </w:r>
            <w:r w:rsidRPr="006B223F">
              <w:rPr>
                <w:highlight w:val="yellow"/>
              </w:rPr>
              <w:t>05 ** ** ** **.</w:t>
            </w:r>
          </w:p>
          <w:p w:rsidR="00FF04B3" w:rsidRDefault="00FF04B3" w:rsidP="00C442E7">
            <w:pPr>
              <w:pStyle w:val="Sansinterligne"/>
              <w:numPr>
                <w:ilvl w:val="0"/>
                <w:numId w:val="0"/>
              </w:numPr>
              <w:ind w:left="720"/>
              <w:rPr>
                <w:i/>
                <w:iCs/>
              </w:rPr>
            </w:pPr>
            <w:r w:rsidRPr="51E9B383">
              <w:rPr>
                <w:i/>
                <w:iCs/>
              </w:rPr>
              <w:t xml:space="preserve">A noter : la visite de pré-reprise n’est pas la visite de reprise, elle ne donnera pas lieu à l’émission d’un avis </w:t>
            </w:r>
            <w:r w:rsidR="006B223F">
              <w:rPr>
                <w:i/>
                <w:iCs/>
              </w:rPr>
              <w:t>d’</w:t>
            </w:r>
            <w:r w:rsidRPr="51E9B383">
              <w:rPr>
                <w:i/>
                <w:iCs/>
              </w:rPr>
              <w:t>aptitude. L’objectif est plutôt de préparer, dès que possible, les éventuels aménagements de poste qu’il faudrait mettre en place en vue de votre retour. La visite de pré-reprise constitue un droit de l’agent, mais en aucun cas un devoir : l’opportunité de la solliciter est laissée entièrement à votre libre appréciation.</w:t>
            </w:r>
          </w:p>
          <w:p w:rsidR="00FF04B3" w:rsidRPr="00422C88" w:rsidRDefault="00FF04B3" w:rsidP="00C442E7">
            <w:pPr>
              <w:pStyle w:val="Sansinterligne"/>
              <w:numPr>
                <w:ilvl w:val="0"/>
                <w:numId w:val="15"/>
              </w:numPr>
              <w:ind w:left="720"/>
              <w:rPr>
                <w:i/>
                <w:iCs/>
              </w:rPr>
            </w:pPr>
            <w:r w:rsidRPr="51E9B383">
              <w:t xml:space="preserve">à effectuer une </w:t>
            </w:r>
            <w:r w:rsidRPr="51E9B383">
              <w:rPr>
                <w:b/>
                <w:bCs/>
              </w:rPr>
              <w:t>demande de Reconnaissance en Qualité de Travailleur Handicapé</w:t>
            </w:r>
            <w:r w:rsidRPr="51E9B383">
              <w:t xml:space="preserve"> (RQTH) auprès de la Maison Départementale des Personnes Handicapées (MDPH). Le dossier est disponible à l’adresse suivante : </w:t>
            </w:r>
            <w:hyperlink r:id="rId9">
              <w:r w:rsidRPr="51E9B383">
                <w:rPr>
                  <w:rStyle w:val="Lienhypertexte"/>
                  <w:szCs w:val="24"/>
                </w:rPr>
                <w:t>https://www.service-public.fr/particuliers/vosdroits/R19993</w:t>
              </w:r>
            </w:hyperlink>
            <w:r w:rsidRPr="51E9B383">
              <w:t>. Cette reconnaissance vous ouvre, le cas échéant, des droits au financement de l’aménagement du poste de travail, voire de la reconversion professionnelle (formations).</w:t>
            </w:r>
          </w:p>
          <w:p w:rsidR="00FF04B3" w:rsidRPr="00422C88" w:rsidRDefault="00FF04B3" w:rsidP="00C442E7">
            <w:pPr>
              <w:pStyle w:val="Sansinterligne"/>
              <w:numPr>
                <w:ilvl w:val="0"/>
                <w:numId w:val="15"/>
              </w:numPr>
              <w:ind w:left="720"/>
            </w:pPr>
            <w:r w:rsidRPr="51E9B383">
              <w:rPr>
                <w:b/>
                <w:bCs/>
              </w:rPr>
              <w:t>à rencontrer le service des ressources humaines pour de plus amples explications</w:t>
            </w:r>
            <w:r w:rsidRPr="51E9B383">
              <w:t xml:space="preserve"> et pour anticiper votre reprise le cas échéant.</w:t>
            </w:r>
          </w:p>
          <w:p w:rsidR="00FF04B3" w:rsidRPr="00422C88" w:rsidRDefault="00FF04B3" w:rsidP="00FF04B3">
            <w:pPr>
              <w:pStyle w:val="Sansinterligne"/>
              <w:numPr>
                <w:ilvl w:val="0"/>
                <w:numId w:val="0"/>
              </w:numPr>
            </w:pPr>
          </w:p>
          <w:p w:rsidR="00FF04B3" w:rsidRPr="00422C88" w:rsidRDefault="00FF04B3" w:rsidP="00FF04B3">
            <w:pPr>
              <w:pStyle w:val="Sansinterligne"/>
              <w:numPr>
                <w:ilvl w:val="0"/>
                <w:numId w:val="0"/>
              </w:numPr>
            </w:pPr>
            <w:r w:rsidRPr="51E9B383">
              <w:t>Tout au long de votre arrêt, nous restons à votre disposition pour tout renseignement, et pour convenir d’un RDV au moment qui vous conviendra. N’hésitez pas à solliciter les représentants du personnel qui peuvent vous accompagner.</w:t>
            </w:r>
          </w:p>
          <w:p w:rsidR="00FF04B3" w:rsidRPr="00422C88" w:rsidRDefault="00FF04B3" w:rsidP="00FF04B3">
            <w:pPr>
              <w:pStyle w:val="Sansinterligne"/>
              <w:numPr>
                <w:ilvl w:val="0"/>
                <w:numId w:val="0"/>
              </w:numPr>
            </w:pPr>
          </w:p>
          <w:p w:rsidR="00FF04B3" w:rsidRPr="00422C88" w:rsidRDefault="00FF04B3" w:rsidP="00FF04B3">
            <w:pPr>
              <w:pStyle w:val="Sansinterligne"/>
              <w:numPr>
                <w:ilvl w:val="0"/>
                <w:numId w:val="0"/>
              </w:numPr>
            </w:pPr>
            <w:r w:rsidRPr="51E9B383">
              <w:t>Vous souhaitant un bon rétablissement,</w:t>
            </w:r>
          </w:p>
          <w:p w:rsidR="008D0972" w:rsidRPr="00354CD0" w:rsidRDefault="008D0972" w:rsidP="00FF04B3">
            <w:pPr>
              <w:pStyle w:val="Sansinterligne"/>
              <w:numPr>
                <w:ilvl w:val="0"/>
                <w:numId w:val="0"/>
              </w:numPr>
            </w:pPr>
          </w:p>
          <w:p w:rsidR="008D0972" w:rsidRPr="00464894" w:rsidRDefault="00FF04B3" w:rsidP="00FF04B3">
            <w:pPr>
              <w:pStyle w:val="Titre2"/>
              <w:framePr w:wrap="around"/>
              <w:jc w:val="right"/>
              <w:outlineLvl w:val="1"/>
            </w:pPr>
            <w:r w:rsidRPr="006B223F">
              <w:rPr>
                <w:rFonts w:eastAsiaTheme="minorHAnsi" w:cstheme="minorBidi"/>
                <w:b w:val="0"/>
                <w:caps w:val="0"/>
                <w:color w:val="auto"/>
                <w:sz w:val="24"/>
                <w:szCs w:val="22"/>
                <w:highlight w:val="yellow"/>
              </w:rPr>
              <w:t>Responsable RH</w:t>
            </w:r>
            <w:bookmarkStart w:id="0" w:name="_GoBack"/>
            <w:bookmarkEnd w:id="0"/>
            <w:r w:rsidRPr="00FF04B3">
              <w:rPr>
                <w:rFonts w:eastAsiaTheme="minorHAnsi" w:cstheme="minorBidi"/>
                <w:b w:val="0"/>
                <w:caps w:val="0"/>
                <w:color w:val="auto"/>
                <w:sz w:val="24"/>
                <w:szCs w:val="22"/>
              </w:rPr>
              <w:t xml:space="preserve"> </w:t>
            </w:r>
          </w:p>
        </w:tc>
      </w:tr>
    </w:tbl>
    <w:p w:rsidR="00626876" w:rsidRDefault="006B223F"/>
    <w:sectPr w:rsidR="00626876" w:rsidSect="00142D6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64" w:rsidRDefault="00781164" w:rsidP="00781164">
      <w:pPr>
        <w:spacing w:after="0" w:line="240" w:lineRule="auto"/>
      </w:pPr>
      <w:r>
        <w:separator/>
      </w:r>
    </w:p>
  </w:endnote>
  <w:endnote w:type="continuationSeparator" w:id="0">
    <w:p w:rsidR="00781164" w:rsidRDefault="00781164"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781164" w:rsidTr="004467B3">
      <w:trPr>
        <w:trHeight w:val="283"/>
      </w:trPr>
      <w:tc>
        <w:tcPr>
          <w:tcW w:w="10646" w:type="dxa"/>
          <w:tcBorders>
            <w:top w:val="single" w:sz="4" w:space="0" w:color="2A9DA4"/>
          </w:tcBorders>
          <w:vAlign w:val="bottom"/>
        </w:tcPr>
        <w:p w:rsidR="00781164" w:rsidRPr="00781164" w:rsidRDefault="00781164" w:rsidP="00781164">
          <w:pPr>
            <w:tabs>
              <w:tab w:val="center" w:pos="4550"/>
              <w:tab w:val="left" w:pos="5818"/>
            </w:tabs>
            <w:ind w:right="260"/>
            <w:jc w:val="right"/>
            <w:rPr>
              <w:color w:val="808080" w:themeColor="background1" w:themeShade="80"/>
              <w:sz w:val="16"/>
              <w:szCs w:val="16"/>
            </w:rPr>
          </w:pPr>
          <w:r w:rsidRPr="00781164">
            <w:rPr>
              <w:color w:val="808080" w:themeColor="background1" w:themeShade="80"/>
              <w:sz w:val="16"/>
              <w:szCs w:val="16"/>
            </w:rPr>
            <w:t xml:space="preserve">Page </w:t>
          </w:r>
          <w:r w:rsidRPr="00781164">
            <w:rPr>
              <w:color w:val="808080" w:themeColor="background1" w:themeShade="80"/>
              <w:sz w:val="16"/>
              <w:szCs w:val="16"/>
            </w:rPr>
            <w:fldChar w:fldCharType="begin"/>
          </w:r>
          <w:r w:rsidRPr="00781164">
            <w:rPr>
              <w:color w:val="808080" w:themeColor="background1" w:themeShade="80"/>
              <w:sz w:val="16"/>
              <w:szCs w:val="16"/>
            </w:rPr>
            <w:instrText>PAGE   \* MERGEFORMAT</w:instrText>
          </w:r>
          <w:r w:rsidRPr="00781164">
            <w:rPr>
              <w:color w:val="808080" w:themeColor="background1" w:themeShade="80"/>
              <w:sz w:val="16"/>
              <w:szCs w:val="16"/>
            </w:rPr>
            <w:fldChar w:fldCharType="separate"/>
          </w:r>
          <w:r w:rsidR="006B223F">
            <w:rPr>
              <w:noProof/>
              <w:color w:val="808080" w:themeColor="background1" w:themeShade="80"/>
              <w:sz w:val="16"/>
              <w:szCs w:val="16"/>
            </w:rPr>
            <w:t>2</w:t>
          </w:r>
          <w:r w:rsidRPr="00781164">
            <w:rPr>
              <w:color w:val="808080" w:themeColor="background1" w:themeShade="80"/>
              <w:sz w:val="16"/>
              <w:szCs w:val="16"/>
            </w:rPr>
            <w:fldChar w:fldCharType="end"/>
          </w:r>
          <w:r w:rsidRPr="00781164">
            <w:rPr>
              <w:color w:val="808080" w:themeColor="background1" w:themeShade="80"/>
              <w:sz w:val="16"/>
              <w:szCs w:val="16"/>
            </w:rPr>
            <w:t xml:space="preserve"> | </w:t>
          </w:r>
          <w:r w:rsidRPr="00781164">
            <w:rPr>
              <w:color w:val="808080" w:themeColor="background1" w:themeShade="80"/>
              <w:sz w:val="16"/>
              <w:szCs w:val="16"/>
            </w:rPr>
            <w:fldChar w:fldCharType="begin"/>
          </w:r>
          <w:r w:rsidRPr="00781164">
            <w:rPr>
              <w:color w:val="808080" w:themeColor="background1" w:themeShade="80"/>
              <w:sz w:val="16"/>
              <w:szCs w:val="16"/>
            </w:rPr>
            <w:instrText>NUMPAGES  \* Arabic  \* MERGEFORMAT</w:instrText>
          </w:r>
          <w:r w:rsidRPr="00781164">
            <w:rPr>
              <w:color w:val="808080" w:themeColor="background1" w:themeShade="80"/>
              <w:sz w:val="16"/>
              <w:szCs w:val="16"/>
            </w:rPr>
            <w:fldChar w:fldCharType="separate"/>
          </w:r>
          <w:r w:rsidR="006B223F">
            <w:rPr>
              <w:noProof/>
              <w:color w:val="808080" w:themeColor="background1" w:themeShade="80"/>
              <w:sz w:val="16"/>
              <w:szCs w:val="16"/>
            </w:rPr>
            <w:t>2</w:t>
          </w:r>
          <w:r w:rsidRPr="00781164">
            <w:rPr>
              <w:color w:val="808080" w:themeColor="background1" w:themeShade="80"/>
              <w:sz w:val="16"/>
              <w:szCs w:val="16"/>
            </w:rPr>
            <w:fldChar w:fldCharType="end"/>
          </w:r>
        </w:p>
        <w:p w:rsidR="00781164" w:rsidRDefault="00781164" w:rsidP="00781164">
          <w:pPr>
            <w:pStyle w:val="Pieddepage"/>
            <w:jc w:val="right"/>
          </w:pPr>
        </w:p>
      </w:tc>
    </w:tr>
  </w:tbl>
  <w:p w:rsidR="00781164" w:rsidRDefault="007811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64" w:rsidRDefault="00781164" w:rsidP="00781164">
      <w:pPr>
        <w:spacing w:after="0" w:line="240" w:lineRule="auto"/>
      </w:pPr>
      <w:r>
        <w:separator/>
      </w:r>
    </w:p>
  </w:footnote>
  <w:footnote w:type="continuationSeparator" w:id="0">
    <w:p w:rsidR="00781164" w:rsidRDefault="00781164" w:rsidP="00781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2C4"/>
    <w:multiLevelType w:val="hybridMultilevel"/>
    <w:tmpl w:val="5F3AC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F77C8"/>
    <w:multiLevelType w:val="hybridMultilevel"/>
    <w:tmpl w:val="168C7340"/>
    <w:lvl w:ilvl="0" w:tplc="8B90A9CA">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A390C"/>
    <w:multiLevelType w:val="hybridMultilevel"/>
    <w:tmpl w:val="16A287F8"/>
    <w:lvl w:ilvl="0" w:tplc="74323CE2">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0106C"/>
    <w:multiLevelType w:val="hybridMultilevel"/>
    <w:tmpl w:val="54F84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B01218"/>
    <w:multiLevelType w:val="hybridMultilevel"/>
    <w:tmpl w:val="CE423D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557283"/>
    <w:multiLevelType w:val="hybridMultilevel"/>
    <w:tmpl w:val="9550C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
  </w:num>
  <w:num w:numId="5">
    <w:abstractNumId w:val="5"/>
  </w:num>
  <w:num w:numId="6">
    <w:abstractNumId w:val="10"/>
  </w:num>
  <w:num w:numId="7">
    <w:abstractNumId w:val="3"/>
  </w:num>
  <w:num w:numId="8">
    <w:abstractNumId w:val="7"/>
  </w:num>
  <w:num w:numId="9">
    <w:abstractNumId w:val="2"/>
  </w:num>
  <w:num w:numId="10">
    <w:abstractNumId w:val="9"/>
  </w:num>
  <w:num w:numId="11">
    <w:abstractNumId w:val="0"/>
  </w:num>
  <w:num w:numId="12">
    <w:abstractNumId w:val="14"/>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64"/>
    <w:rsid w:val="00073EFA"/>
    <w:rsid w:val="00085C07"/>
    <w:rsid w:val="00135AE9"/>
    <w:rsid w:val="00142D64"/>
    <w:rsid w:val="00160CD1"/>
    <w:rsid w:val="001A53EB"/>
    <w:rsid w:val="001E1E7C"/>
    <w:rsid w:val="00281F0F"/>
    <w:rsid w:val="00354CD0"/>
    <w:rsid w:val="00361C2E"/>
    <w:rsid w:val="0039227B"/>
    <w:rsid w:val="003A748C"/>
    <w:rsid w:val="003B0E05"/>
    <w:rsid w:val="004467B3"/>
    <w:rsid w:val="004A001D"/>
    <w:rsid w:val="005339E9"/>
    <w:rsid w:val="00576260"/>
    <w:rsid w:val="005E0381"/>
    <w:rsid w:val="00627AF9"/>
    <w:rsid w:val="006316F6"/>
    <w:rsid w:val="006323DC"/>
    <w:rsid w:val="0068183F"/>
    <w:rsid w:val="006B223F"/>
    <w:rsid w:val="00733A91"/>
    <w:rsid w:val="00736B5E"/>
    <w:rsid w:val="00752600"/>
    <w:rsid w:val="00781164"/>
    <w:rsid w:val="008651A1"/>
    <w:rsid w:val="00872E7C"/>
    <w:rsid w:val="008D0972"/>
    <w:rsid w:val="008F4091"/>
    <w:rsid w:val="00996E95"/>
    <w:rsid w:val="009F0D83"/>
    <w:rsid w:val="00A46DBD"/>
    <w:rsid w:val="00A60BA2"/>
    <w:rsid w:val="00AD41E4"/>
    <w:rsid w:val="00B32F7D"/>
    <w:rsid w:val="00B6342C"/>
    <w:rsid w:val="00BB6631"/>
    <w:rsid w:val="00BF7855"/>
    <w:rsid w:val="00C1050A"/>
    <w:rsid w:val="00C442E7"/>
    <w:rsid w:val="00D42095"/>
    <w:rsid w:val="00D43B95"/>
    <w:rsid w:val="00E85E6C"/>
    <w:rsid w:val="00EB0F36"/>
    <w:rsid w:val="00EE2CB6"/>
    <w:rsid w:val="00F71031"/>
    <w:rsid w:val="00FA3A79"/>
    <w:rsid w:val="00FF04B3"/>
    <w:rsid w:val="00FF29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184C205-2805-4688-B15A-77244D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8F4091"/>
    <w:pPr>
      <w:numPr>
        <w:numId w:val="4"/>
      </w:numPr>
      <w:spacing w:after="100" w:line="240" w:lineRule="auto"/>
      <w:ind w:left="714" w:hanging="357"/>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articuliers/vosdroits/R199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9CA5-094F-4B05-8342-52EC70AE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BIRON Aurélie</cp:lastModifiedBy>
  <cp:revision>7</cp:revision>
  <cp:lastPrinted>2018-03-08T16:05:00Z</cp:lastPrinted>
  <dcterms:created xsi:type="dcterms:W3CDTF">2018-03-09T15:02:00Z</dcterms:created>
  <dcterms:modified xsi:type="dcterms:W3CDTF">2018-04-26T15:21:00Z</dcterms:modified>
</cp:coreProperties>
</file>